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98708" w14:textId="5E4CB9B5" w:rsidR="00455FF0" w:rsidRPr="00350851" w:rsidRDefault="002F418F" w:rsidP="00D9430A">
      <w:pPr>
        <w:pStyle w:val="Title"/>
        <w:spacing w:before="160" w:after="160"/>
        <w:rPr>
          <w:sz w:val="52"/>
          <w:szCs w:val="52"/>
        </w:rPr>
      </w:pPr>
      <w:r>
        <w:rPr>
          <w:sz w:val="52"/>
          <w:szCs w:val="52"/>
        </w:rPr>
        <w:t>202</w:t>
      </w:r>
      <w:r w:rsidR="00A560EE">
        <w:rPr>
          <w:sz w:val="52"/>
          <w:szCs w:val="52"/>
        </w:rPr>
        <w:t>3</w:t>
      </w:r>
      <w:r>
        <w:rPr>
          <w:sz w:val="52"/>
          <w:szCs w:val="52"/>
        </w:rPr>
        <w:t xml:space="preserve"> </w:t>
      </w:r>
      <w:r w:rsidR="00A22DA6" w:rsidRPr="00350851">
        <w:rPr>
          <w:sz w:val="52"/>
          <w:szCs w:val="52"/>
        </w:rPr>
        <w:t>EPI</w:t>
      </w:r>
      <w:r w:rsidR="00455FF0" w:rsidRPr="00350851">
        <w:rPr>
          <w:sz w:val="52"/>
          <w:szCs w:val="52"/>
        </w:rPr>
        <w:t xml:space="preserve"> New Methodology Report Manual</w:t>
      </w:r>
    </w:p>
    <w:p w14:paraId="3EB86AFA" w14:textId="45471B42" w:rsidR="008750DF" w:rsidRDefault="00A22DA6" w:rsidP="00D9430A">
      <w:pPr>
        <w:spacing w:before="160"/>
      </w:pPr>
      <w:r>
        <w:t xml:space="preserve">This document describes how each component in the </w:t>
      </w:r>
      <w:r w:rsidR="002F418F">
        <w:t>202</w:t>
      </w:r>
      <w:r w:rsidR="00A560EE">
        <w:t>3</w:t>
      </w:r>
      <w:r w:rsidR="002F418F">
        <w:t xml:space="preserve"> </w:t>
      </w:r>
      <w:r w:rsidR="00350851">
        <w:t>Educator Preparation Institution (</w:t>
      </w:r>
      <w:r>
        <w:t>EPI</w:t>
      </w:r>
      <w:r w:rsidR="00350851">
        <w:t>) performance</w:t>
      </w:r>
      <w:r>
        <w:t xml:space="preserve"> score is calculated.</w:t>
      </w:r>
      <w:r w:rsidR="00870E72">
        <w:t xml:space="preserve"> </w:t>
      </w:r>
      <w:r w:rsidR="00FE242E">
        <w:t xml:space="preserve">For indicators relying on survey data, question wording and state aggregate results are presented in </w:t>
      </w:r>
      <w:r w:rsidR="00491466">
        <w:t>the</w:t>
      </w:r>
      <w:r w:rsidR="00FE242E">
        <w:t xml:space="preserve"> supplementary </w:t>
      </w:r>
      <w:r w:rsidR="00B66007" w:rsidRPr="0041226A">
        <w:rPr>
          <w:i/>
          <w:iCs/>
        </w:rPr>
        <w:t xml:space="preserve">Candidate </w:t>
      </w:r>
      <w:r w:rsidR="00C441DC">
        <w:rPr>
          <w:i/>
          <w:iCs/>
        </w:rPr>
        <w:t xml:space="preserve">Suite Surveys </w:t>
      </w:r>
      <w:r w:rsidR="00B66007" w:rsidRPr="0041226A">
        <w:rPr>
          <w:i/>
          <w:iCs/>
        </w:rPr>
        <w:t>Summary</w:t>
      </w:r>
      <w:r w:rsidR="00B66007">
        <w:t xml:space="preserve"> (CSSS) </w:t>
      </w:r>
      <w:r w:rsidR="00FE242E">
        <w:t>document</w:t>
      </w:r>
      <w:r w:rsidR="00B66007">
        <w:t>ation</w:t>
      </w:r>
      <w:r w:rsidR="00FE242E">
        <w:t xml:space="preserve">. </w:t>
      </w:r>
    </w:p>
    <w:p w14:paraId="0BE7D2CF" w14:textId="3CDC3073" w:rsidR="00A22DA6" w:rsidRDefault="00E505DA" w:rsidP="70BBDA3D">
      <w:pPr>
        <w:spacing w:before="160"/>
        <w:rPr>
          <w:strike/>
        </w:rPr>
      </w:pPr>
      <w:r w:rsidRPr="70BBDA3D">
        <w:rPr>
          <w:b/>
          <w:bCs/>
        </w:rPr>
        <w:t>General rule:</w:t>
      </w:r>
      <w:r>
        <w:t xml:space="preserve">  Efficacy for all survey questions is calculated from summing the number of respondents selecting “to a moderate extent” or “to a great extent” and dividing by the total number of respondents.</w:t>
      </w:r>
      <w:r w:rsidR="7DAC8C46">
        <w:t xml:space="preserve">  All respondents, even if they selected “not applicable</w:t>
      </w:r>
      <w:r w:rsidR="3C79E897">
        <w:t>/observable</w:t>
      </w:r>
      <w:r w:rsidR="7DAC8C46">
        <w:t>” are included in the denominator</w:t>
      </w:r>
      <w:r w:rsidR="52F9B029">
        <w:t xml:space="preserve"> (except for questions 3</w:t>
      </w:r>
      <w:r w:rsidR="00DB7924">
        <w:t>5</w:t>
      </w:r>
      <w:r w:rsidR="52F9B029">
        <w:t xml:space="preserve"> through 4</w:t>
      </w:r>
      <w:r w:rsidR="00DB7924">
        <w:t>1</w:t>
      </w:r>
      <w:r w:rsidR="52F9B029">
        <w:t xml:space="preserve"> of</w:t>
      </w:r>
      <w:r w:rsidR="03CD650F">
        <w:t xml:space="preserve"> the</w:t>
      </w:r>
      <w:r w:rsidR="52F9B029">
        <w:t xml:space="preserve"> Teacher Candidate Survey</w:t>
      </w:r>
      <w:r w:rsidR="03CD650F">
        <w:t xml:space="preserve"> in </w:t>
      </w:r>
      <w:r w:rsidR="00C441DC">
        <w:t xml:space="preserve">the </w:t>
      </w:r>
      <w:r w:rsidR="03CD650F">
        <w:t>CSSS</w:t>
      </w:r>
      <w:r w:rsidR="00C441DC">
        <w:t>,</w:t>
      </w:r>
      <w:r w:rsidR="5CBDA3BC">
        <w:t xml:space="preserve"> which are specific to program elements</w:t>
      </w:r>
      <w:r w:rsidR="52F9B029">
        <w:t>)</w:t>
      </w:r>
      <w:r w:rsidR="7DAC8C46">
        <w:t xml:space="preserve">. </w:t>
      </w:r>
      <w:r>
        <w:t>Efficacies are reported as percentages</w:t>
      </w:r>
      <w:r w:rsidR="00A012A1">
        <w:t xml:space="preserve"> with </w:t>
      </w:r>
      <w:r w:rsidR="188A8D19">
        <w:t xml:space="preserve">all percentages </w:t>
      </w:r>
      <w:r w:rsidR="00A012A1">
        <w:t xml:space="preserve">left </w:t>
      </w:r>
      <w:r w:rsidR="188A8D19">
        <w:t xml:space="preserve">“as is” </w:t>
      </w:r>
      <w:r w:rsidR="00A012A1">
        <w:t>(i.e.,</w:t>
      </w:r>
      <w:r w:rsidR="188A8D19">
        <w:t xml:space="preserve"> not rounded</w:t>
      </w:r>
      <w:r w:rsidR="00A012A1">
        <w:t>)</w:t>
      </w:r>
      <w:r w:rsidR="188A8D19">
        <w:t>.</w:t>
      </w:r>
    </w:p>
    <w:p w14:paraId="3AA20709" w14:textId="364F9D8C" w:rsidR="00A22DA6" w:rsidRPr="00D600F6" w:rsidRDefault="00A22DA6" w:rsidP="00315853">
      <w:pPr>
        <w:pStyle w:val="Heading1"/>
      </w:pPr>
      <w:r>
        <w:t>Candidate Selection and Completion</w:t>
      </w:r>
    </w:p>
    <w:p w14:paraId="57BC538B" w14:textId="08D2AEF0" w:rsidR="0096002B" w:rsidRPr="00A226ED" w:rsidRDefault="6AB1B62D" w:rsidP="006C0669">
      <w:pPr>
        <w:pStyle w:val="Heading2"/>
      </w:pPr>
      <w:r w:rsidRPr="4940FEEE">
        <w:rPr>
          <w:b/>
          <w:bCs/>
        </w:rPr>
        <w:t>Indicator</w:t>
      </w:r>
      <w:r w:rsidR="0096002B">
        <w:t xml:space="preserve">: </w:t>
      </w:r>
      <w:r w:rsidR="00826544">
        <w:t xml:space="preserve"> </w:t>
      </w:r>
      <w:r w:rsidR="00A22DA6">
        <w:t>Teaching Promise</w:t>
      </w:r>
    </w:p>
    <w:p w14:paraId="787DC225" w14:textId="1F10687B" w:rsidR="0096002B" w:rsidRPr="00A226ED" w:rsidRDefault="0096002B" w:rsidP="00D9430A">
      <w:pPr>
        <w:spacing w:after="0" w:line="240" w:lineRule="auto"/>
      </w:pPr>
      <w:r w:rsidRPr="4940FEEE">
        <w:rPr>
          <w:b/>
          <w:bCs/>
        </w:rPr>
        <w:t>Data Source</w:t>
      </w:r>
      <w:r>
        <w:t xml:space="preserve">: </w:t>
      </w:r>
      <w:r w:rsidR="00826544">
        <w:t xml:space="preserve"> </w:t>
      </w:r>
      <w:r w:rsidR="0099448F">
        <w:t xml:space="preserve">Teacher Candidate, </w:t>
      </w:r>
      <w:r>
        <w:t>Candidate Supervisor</w:t>
      </w:r>
      <w:r w:rsidR="7D27AD42">
        <w:t>,</w:t>
      </w:r>
      <w:r>
        <w:t xml:space="preserve"> and Cooperating Teacher Survey Results</w:t>
      </w:r>
    </w:p>
    <w:p w14:paraId="298F8523" w14:textId="54CB2D8F" w:rsidR="00455FF0" w:rsidRPr="00A226ED" w:rsidRDefault="0096002B" w:rsidP="00D9430A">
      <w:pPr>
        <w:spacing w:after="0" w:line="240" w:lineRule="auto"/>
      </w:pPr>
      <w:r w:rsidRPr="00A226ED">
        <w:rPr>
          <w:b/>
          <w:bCs/>
        </w:rPr>
        <w:t>Points</w:t>
      </w:r>
      <w:r w:rsidRPr="00A226ED">
        <w:t xml:space="preserve">: </w:t>
      </w:r>
      <w:r w:rsidR="00826544">
        <w:t xml:space="preserve"> </w:t>
      </w:r>
      <w:r w:rsidR="00A22DA6" w:rsidRPr="00A226ED">
        <w:t>5</w:t>
      </w:r>
    </w:p>
    <w:p w14:paraId="67BEF01C" w14:textId="70F917BC" w:rsidR="00784BFC" w:rsidRDefault="000F007B" w:rsidP="00D9430A">
      <w:pPr>
        <w:spacing w:before="160" w:line="240" w:lineRule="auto"/>
      </w:pPr>
      <w:r w:rsidRPr="00A226ED">
        <w:rPr>
          <w:b/>
          <w:bCs/>
        </w:rPr>
        <w:t>Calculation</w:t>
      </w:r>
      <w:r>
        <w:t xml:space="preserve">:  Each survey asked the following question, “Overall, to what extent do you believe you (this candidate) are (is) ready to enter the teaching profession”.  </w:t>
      </w:r>
      <w:r w:rsidR="008750DF">
        <w:t>The</w:t>
      </w:r>
      <w:r w:rsidR="00CF2251">
        <w:t xml:space="preserve"> </w:t>
      </w:r>
      <w:r w:rsidR="008750DF">
        <w:t xml:space="preserve">efficacy percentage </w:t>
      </w:r>
      <w:r w:rsidR="00CF2251">
        <w:t>for this question for each group was calculated</w:t>
      </w:r>
      <w:r>
        <w:t xml:space="preserve">.  These three percentage values were then summed and divided by 3 to create an average </w:t>
      </w:r>
      <w:r w:rsidR="00893E8B">
        <w:t xml:space="preserve">efficacy </w:t>
      </w:r>
      <w:r>
        <w:t>for each EPI.</w:t>
      </w:r>
    </w:p>
    <w:tbl>
      <w:tblPr>
        <w:tblStyle w:val="TableGrid"/>
        <w:tblW w:w="4176" w:type="dxa"/>
        <w:tblLook w:val="04A0" w:firstRow="1" w:lastRow="0" w:firstColumn="1" w:lastColumn="0" w:noHBand="0" w:noVBand="1"/>
      </w:tblPr>
      <w:tblGrid>
        <w:gridCol w:w="2448"/>
        <w:gridCol w:w="1728"/>
      </w:tblGrid>
      <w:tr w:rsidR="00784BFC" w14:paraId="690C8E80" w14:textId="77777777" w:rsidTr="00A205BE">
        <w:tc>
          <w:tcPr>
            <w:tcW w:w="2448" w:type="dxa"/>
            <w:shd w:val="clear" w:color="auto" w:fill="8EAADB" w:themeFill="accent1" w:themeFillTint="99"/>
          </w:tcPr>
          <w:p w14:paraId="3A19EC37" w14:textId="3817D239" w:rsidR="00784BFC" w:rsidRDefault="00784BFC" w:rsidP="00FD58CC">
            <w:pPr>
              <w:tabs>
                <w:tab w:val="left" w:pos="1520"/>
              </w:tabs>
              <w:jc w:val="center"/>
            </w:pPr>
            <w:r>
              <w:t>Percentage Efficacy</w:t>
            </w:r>
          </w:p>
        </w:tc>
        <w:tc>
          <w:tcPr>
            <w:tcW w:w="1728" w:type="dxa"/>
            <w:shd w:val="clear" w:color="auto" w:fill="8EAADB" w:themeFill="accent1" w:themeFillTint="99"/>
          </w:tcPr>
          <w:p w14:paraId="0F87D53F" w14:textId="77167642" w:rsidR="00784BFC" w:rsidRDefault="00784BFC" w:rsidP="00D9430A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784BFC" w14:paraId="042904F5" w14:textId="77777777" w:rsidTr="00A205BE">
        <w:tc>
          <w:tcPr>
            <w:tcW w:w="2448" w:type="dxa"/>
          </w:tcPr>
          <w:p w14:paraId="27FC3DCB" w14:textId="38D73AD2" w:rsidR="00784BFC" w:rsidRDefault="00784BFC" w:rsidP="00FD58CC">
            <w:pPr>
              <w:tabs>
                <w:tab w:val="left" w:pos="1520"/>
              </w:tabs>
              <w:jc w:val="center"/>
            </w:pPr>
            <w:r>
              <w:t xml:space="preserve">90% – </w:t>
            </w:r>
            <w:r w:rsidR="002F418F">
              <w:t>100</w:t>
            </w:r>
            <w:r>
              <w:t>%</w:t>
            </w:r>
          </w:p>
        </w:tc>
        <w:tc>
          <w:tcPr>
            <w:tcW w:w="1728" w:type="dxa"/>
          </w:tcPr>
          <w:p w14:paraId="12DB5A6F" w14:textId="0BEF324F" w:rsidR="00784BFC" w:rsidRDefault="0034710A" w:rsidP="00D9430A">
            <w:pPr>
              <w:tabs>
                <w:tab w:val="left" w:pos="1520"/>
              </w:tabs>
              <w:jc w:val="center"/>
            </w:pPr>
            <w:r>
              <w:t>5</w:t>
            </w:r>
          </w:p>
        </w:tc>
      </w:tr>
      <w:tr w:rsidR="00784BFC" w14:paraId="05B5A2E7" w14:textId="77777777" w:rsidTr="00A205BE">
        <w:tc>
          <w:tcPr>
            <w:tcW w:w="2448" w:type="dxa"/>
          </w:tcPr>
          <w:p w14:paraId="34AFDA0F" w14:textId="2FACC966" w:rsidR="00784BFC" w:rsidRDefault="00784BFC" w:rsidP="00FD58CC">
            <w:pPr>
              <w:tabs>
                <w:tab w:val="left" w:pos="1520"/>
              </w:tabs>
              <w:jc w:val="center"/>
            </w:pPr>
            <w:r>
              <w:t xml:space="preserve">85% – </w:t>
            </w:r>
            <w:r w:rsidR="0034710A">
              <w:t>8</w:t>
            </w:r>
            <w:r>
              <w:t>9%</w:t>
            </w:r>
          </w:p>
        </w:tc>
        <w:tc>
          <w:tcPr>
            <w:tcW w:w="1728" w:type="dxa"/>
          </w:tcPr>
          <w:p w14:paraId="594D4DFC" w14:textId="5C43333E" w:rsidR="00784BFC" w:rsidRDefault="0034710A" w:rsidP="00D9430A">
            <w:pPr>
              <w:tabs>
                <w:tab w:val="left" w:pos="1520"/>
              </w:tabs>
              <w:jc w:val="center"/>
            </w:pPr>
            <w:r>
              <w:t>4</w:t>
            </w:r>
          </w:p>
        </w:tc>
      </w:tr>
      <w:tr w:rsidR="00784BFC" w14:paraId="0E97D566" w14:textId="77777777" w:rsidTr="00A205BE">
        <w:tc>
          <w:tcPr>
            <w:tcW w:w="2448" w:type="dxa"/>
          </w:tcPr>
          <w:p w14:paraId="2437300B" w14:textId="43EF799D" w:rsidR="00784BFC" w:rsidRDefault="0034710A" w:rsidP="00FD58CC">
            <w:pPr>
              <w:tabs>
                <w:tab w:val="left" w:pos="1520"/>
              </w:tabs>
              <w:jc w:val="center"/>
            </w:pPr>
            <w:r>
              <w:t>8</w:t>
            </w:r>
            <w:r w:rsidR="00784BFC">
              <w:t>0</w:t>
            </w:r>
            <w:r>
              <w:t xml:space="preserve">% </w:t>
            </w:r>
            <w:r w:rsidR="00784BFC">
              <w:t>–</w:t>
            </w:r>
            <w:r>
              <w:t xml:space="preserve"> 84</w:t>
            </w:r>
            <w:r w:rsidR="00784BFC">
              <w:t>%</w:t>
            </w:r>
          </w:p>
        </w:tc>
        <w:tc>
          <w:tcPr>
            <w:tcW w:w="1728" w:type="dxa"/>
          </w:tcPr>
          <w:p w14:paraId="743ACB58" w14:textId="7F84601A" w:rsidR="00784BFC" w:rsidRDefault="0034710A" w:rsidP="00D9430A">
            <w:pPr>
              <w:tabs>
                <w:tab w:val="left" w:pos="1520"/>
              </w:tabs>
              <w:jc w:val="center"/>
            </w:pPr>
            <w:r>
              <w:t>3</w:t>
            </w:r>
          </w:p>
        </w:tc>
      </w:tr>
      <w:tr w:rsidR="00784BFC" w14:paraId="02FDEBC1" w14:textId="77777777" w:rsidTr="00A205BE">
        <w:tc>
          <w:tcPr>
            <w:tcW w:w="2448" w:type="dxa"/>
          </w:tcPr>
          <w:p w14:paraId="71E26937" w14:textId="2AD2B0C6" w:rsidR="00784BFC" w:rsidRDefault="0034710A" w:rsidP="00FD58CC">
            <w:pPr>
              <w:tabs>
                <w:tab w:val="left" w:pos="1520"/>
              </w:tabs>
              <w:jc w:val="center"/>
            </w:pPr>
            <w:r>
              <w:t>75%</w:t>
            </w:r>
            <w:r w:rsidR="00784BFC">
              <w:t xml:space="preserve"> – </w:t>
            </w:r>
            <w:r>
              <w:t>7</w:t>
            </w:r>
            <w:r w:rsidR="00784BFC">
              <w:t>9%</w:t>
            </w:r>
          </w:p>
        </w:tc>
        <w:tc>
          <w:tcPr>
            <w:tcW w:w="1728" w:type="dxa"/>
          </w:tcPr>
          <w:p w14:paraId="15EB67E8" w14:textId="6913E5B5" w:rsidR="00784BFC" w:rsidRDefault="0034710A" w:rsidP="00D9430A">
            <w:pPr>
              <w:tabs>
                <w:tab w:val="left" w:pos="1520"/>
              </w:tabs>
              <w:jc w:val="center"/>
            </w:pPr>
            <w:r>
              <w:t>2</w:t>
            </w:r>
          </w:p>
        </w:tc>
      </w:tr>
      <w:tr w:rsidR="00784BFC" w14:paraId="47F5E8B9" w14:textId="77777777" w:rsidTr="00A205BE">
        <w:tc>
          <w:tcPr>
            <w:tcW w:w="2448" w:type="dxa"/>
          </w:tcPr>
          <w:p w14:paraId="6249EEA1" w14:textId="6FD476F7" w:rsidR="00784BFC" w:rsidRDefault="0034710A" w:rsidP="00FD58CC">
            <w:pPr>
              <w:tabs>
                <w:tab w:val="left" w:pos="1520"/>
              </w:tabs>
              <w:jc w:val="center"/>
            </w:pPr>
            <w:r>
              <w:t>70% – 74%</w:t>
            </w:r>
          </w:p>
        </w:tc>
        <w:tc>
          <w:tcPr>
            <w:tcW w:w="1728" w:type="dxa"/>
          </w:tcPr>
          <w:p w14:paraId="49547413" w14:textId="173D7A28" w:rsidR="00784BFC" w:rsidRDefault="0034710A" w:rsidP="00D9430A">
            <w:pPr>
              <w:tabs>
                <w:tab w:val="left" w:pos="1520"/>
              </w:tabs>
              <w:jc w:val="center"/>
            </w:pPr>
            <w:r>
              <w:t>1</w:t>
            </w:r>
          </w:p>
        </w:tc>
      </w:tr>
      <w:tr w:rsidR="0034710A" w14:paraId="60774EF7" w14:textId="77777777" w:rsidTr="00A205BE">
        <w:tc>
          <w:tcPr>
            <w:tcW w:w="2448" w:type="dxa"/>
          </w:tcPr>
          <w:p w14:paraId="343D4E89" w14:textId="3F00D5E0" w:rsidR="0034710A" w:rsidRDefault="0034710A" w:rsidP="00FD58CC">
            <w:pPr>
              <w:tabs>
                <w:tab w:val="left" w:pos="1520"/>
              </w:tabs>
              <w:jc w:val="center"/>
            </w:pPr>
            <w:r>
              <w:t>Below 70%</w:t>
            </w:r>
          </w:p>
        </w:tc>
        <w:tc>
          <w:tcPr>
            <w:tcW w:w="1728" w:type="dxa"/>
          </w:tcPr>
          <w:p w14:paraId="2EFAA421" w14:textId="1E19D68E" w:rsidR="0034710A" w:rsidRDefault="0034710A" w:rsidP="00D9430A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2C0605F3" w14:textId="0F3ADE73" w:rsidR="00A22DA6" w:rsidRPr="00D600F6" w:rsidRDefault="00A22DA6" w:rsidP="00315853">
      <w:pPr>
        <w:pStyle w:val="Heading1"/>
      </w:pPr>
      <w:r w:rsidRPr="4940FEEE">
        <w:t>Knowledge and Skills for Teaching</w:t>
      </w:r>
    </w:p>
    <w:p w14:paraId="3BAB01DE" w14:textId="77777777" w:rsidR="00DA4FA3" w:rsidRDefault="386E7F02" w:rsidP="00DA4FA3">
      <w:pPr>
        <w:pStyle w:val="Heading2"/>
      </w:pPr>
      <w:r w:rsidRPr="4940FEEE">
        <w:rPr>
          <w:b/>
          <w:bCs/>
        </w:rPr>
        <w:t>Indicator</w:t>
      </w:r>
      <w:r w:rsidR="0096002B">
        <w:t xml:space="preserve">: </w:t>
      </w:r>
      <w:r w:rsidR="00826544">
        <w:t xml:space="preserve"> </w:t>
      </w:r>
      <w:r w:rsidR="0096002B">
        <w:t xml:space="preserve">Mastery of Teaching Subjects </w:t>
      </w:r>
      <w:r w:rsidR="008750DF">
        <w:t>I</w:t>
      </w:r>
    </w:p>
    <w:p w14:paraId="16F5701C" w14:textId="1B3F9180" w:rsidR="008157D7" w:rsidRPr="00DA4FA3" w:rsidRDefault="0096002B" w:rsidP="00A13813">
      <w:pPr>
        <w:tabs>
          <w:tab w:val="left" w:pos="6108"/>
        </w:tabs>
        <w:rPr>
          <w:b/>
          <w:bCs/>
        </w:rPr>
      </w:pPr>
      <w:r w:rsidRPr="4940FEEE">
        <w:rPr>
          <w:b/>
          <w:bCs/>
        </w:rPr>
        <w:t>Data Source</w:t>
      </w:r>
      <w:r>
        <w:t xml:space="preserve">: </w:t>
      </w:r>
      <w:r w:rsidR="00826544">
        <w:t xml:space="preserve"> </w:t>
      </w:r>
      <w:r>
        <w:t>MTTC 3 Year Cumulative Reports</w:t>
      </w:r>
      <w:r w:rsidR="00A13813">
        <w:tab/>
      </w:r>
      <w:r>
        <w:br/>
      </w:r>
      <w:r w:rsidRPr="4940FEEE">
        <w:rPr>
          <w:b/>
          <w:bCs/>
        </w:rPr>
        <w:t>Points</w:t>
      </w:r>
      <w:r>
        <w:t xml:space="preserve">: </w:t>
      </w:r>
      <w:r w:rsidR="00826544">
        <w:t xml:space="preserve"> </w:t>
      </w:r>
      <w:r>
        <w:t>20</w:t>
      </w:r>
    </w:p>
    <w:p w14:paraId="720F930E" w14:textId="67C6960A" w:rsidR="00650899" w:rsidRDefault="008157D7" w:rsidP="00D9430A">
      <w:pPr>
        <w:spacing w:before="160" w:line="240" w:lineRule="auto"/>
      </w:pPr>
      <w:r w:rsidRPr="00A226ED">
        <w:rPr>
          <w:b/>
          <w:bCs/>
        </w:rPr>
        <w:t>Calculation</w:t>
      </w:r>
      <w:r>
        <w:t xml:space="preserve">:  </w:t>
      </w:r>
      <w:r w:rsidR="008B5CAE">
        <w:t>The contractor</w:t>
      </w:r>
      <w:r w:rsidR="00FF1B71">
        <w:t>-</w:t>
      </w:r>
      <w:r w:rsidR="008B5CAE">
        <w:t>produced EPI three-year cumulative report serves as the basis for this calculation.  Each eligible candidate’s best attempt is included.  The report shows a pass rate percentage for each EPI</w:t>
      </w:r>
      <w:r w:rsidR="00FF1B71">
        <w:t xml:space="preserve"> which is used </w:t>
      </w:r>
      <w:r w:rsidR="00CF2251">
        <w:t>in</w:t>
      </w:r>
      <w:r w:rsidR="00FF1B71">
        <w:t xml:space="preserve"> the calculation</w:t>
      </w:r>
      <w:r w:rsidR="008B5CA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1872"/>
      </w:tblGrid>
      <w:tr w:rsidR="00650899" w14:paraId="3D433883" w14:textId="77777777" w:rsidTr="00A205BE">
        <w:tc>
          <w:tcPr>
            <w:tcW w:w="2448" w:type="dxa"/>
            <w:shd w:val="clear" w:color="auto" w:fill="A8D08D" w:themeFill="accent6" w:themeFillTint="99"/>
          </w:tcPr>
          <w:p w14:paraId="7D426412" w14:textId="77777777" w:rsidR="00650899" w:rsidRDefault="00650899" w:rsidP="00FD58CC">
            <w:pPr>
              <w:tabs>
                <w:tab w:val="left" w:pos="1520"/>
              </w:tabs>
              <w:jc w:val="center"/>
            </w:pPr>
            <w:r>
              <w:t>Percentage Efficacy</w:t>
            </w:r>
          </w:p>
        </w:tc>
        <w:tc>
          <w:tcPr>
            <w:tcW w:w="1872" w:type="dxa"/>
            <w:shd w:val="clear" w:color="auto" w:fill="A8D08D" w:themeFill="accent6" w:themeFillTint="99"/>
          </w:tcPr>
          <w:p w14:paraId="770606E3" w14:textId="77777777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650899" w14:paraId="201DB9E7" w14:textId="77777777" w:rsidTr="00A205BE">
        <w:tc>
          <w:tcPr>
            <w:tcW w:w="2448" w:type="dxa"/>
          </w:tcPr>
          <w:p w14:paraId="68C16849" w14:textId="5414D0AA" w:rsidR="00650899" w:rsidRDefault="00650899" w:rsidP="00FD58CC">
            <w:pPr>
              <w:tabs>
                <w:tab w:val="left" w:pos="1520"/>
              </w:tabs>
              <w:jc w:val="center"/>
            </w:pPr>
            <w:r>
              <w:t xml:space="preserve">90% – </w:t>
            </w:r>
            <w:r w:rsidR="00B66007">
              <w:t>100</w:t>
            </w:r>
            <w:r>
              <w:t>%</w:t>
            </w:r>
          </w:p>
        </w:tc>
        <w:tc>
          <w:tcPr>
            <w:tcW w:w="1872" w:type="dxa"/>
          </w:tcPr>
          <w:p w14:paraId="5ECAAB62" w14:textId="751FFFAF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20</w:t>
            </w:r>
          </w:p>
        </w:tc>
      </w:tr>
      <w:tr w:rsidR="00650899" w14:paraId="43F1CD0D" w14:textId="77777777" w:rsidTr="00A205BE">
        <w:tc>
          <w:tcPr>
            <w:tcW w:w="2448" w:type="dxa"/>
          </w:tcPr>
          <w:p w14:paraId="2F718A97" w14:textId="19F913F4" w:rsidR="00650899" w:rsidRDefault="00650899" w:rsidP="00FD58CC">
            <w:pPr>
              <w:tabs>
                <w:tab w:val="left" w:pos="1520"/>
              </w:tabs>
              <w:jc w:val="center"/>
            </w:pPr>
            <w:r>
              <w:t>85% – 89%</w:t>
            </w:r>
          </w:p>
        </w:tc>
        <w:tc>
          <w:tcPr>
            <w:tcW w:w="1872" w:type="dxa"/>
          </w:tcPr>
          <w:p w14:paraId="31DE9B1F" w14:textId="68F14C01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17</w:t>
            </w:r>
          </w:p>
        </w:tc>
      </w:tr>
      <w:tr w:rsidR="00650899" w14:paraId="7C2C2F44" w14:textId="77777777" w:rsidTr="00A205BE">
        <w:tc>
          <w:tcPr>
            <w:tcW w:w="2448" w:type="dxa"/>
          </w:tcPr>
          <w:p w14:paraId="2E544EEE" w14:textId="037F3370" w:rsidR="00650899" w:rsidRDefault="00650899" w:rsidP="00FD58CC">
            <w:pPr>
              <w:tabs>
                <w:tab w:val="left" w:pos="1520"/>
              </w:tabs>
              <w:jc w:val="center"/>
            </w:pPr>
            <w:r>
              <w:t>80% – 84%</w:t>
            </w:r>
          </w:p>
        </w:tc>
        <w:tc>
          <w:tcPr>
            <w:tcW w:w="1872" w:type="dxa"/>
          </w:tcPr>
          <w:p w14:paraId="7364C6D1" w14:textId="0A19ACDA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14</w:t>
            </w:r>
          </w:p>
        </w:tc>
      </w:tr>
      <w:tr w:rsidR="00650899" w14:paraId="32D47A46" w14:textId="77777777" w:rsidTr="00A205BE">
        <w:tc>
          <w:tcPr>
            <w:tcW w:w="2448" w:type="dxa"/>
          </w:tcPr>
          <w:p w14:paraId="461E40E9" w14:textId="41E50137" w:rsidR="00650899" w:rsidRDefault="00650899" w:rsidP="00FD58CC">
            <w:pPr>
              <w:tabs>
                <w:tab w:val="left" w:pos="1520"/>
              </w:tabs>
              <w:jc w:val="center"/>
            </w:pPr>
            <w:r>
              <w:t>75% – 79%</w:t>
            </w:r>
          </w:p>
        </w:tc>
        <w:tc>
          <w:tcPr>
            <w:tcW w:w="1872" w:type="dxa"/>
          </w:tcPr>
          <w:p w14:paraId="11ACF234" w14:textId="24EBA87F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11</w:t>
            </w:r>
          </w:p>
        </w:tc>
      </w:tr>
      <w:tr w:rsidR="00650899" w14:paraId="479595E6" w14:textId="77777777" w:rsidTr="00A205BE">
        <w:tc>
          <w:tcPr>
            <w:tcW w:w="2448" w:type="dxa"/>
          </w:tcPr>
          <w:p w14:paraId="1C63B0EA" w14:textId="096C774C" w:rsidR="00650899" w:rsidRDefault="00650899" w:rsidP="00FD58CC">
            <w:pPr>
              <w:tabs>
                <w:tab w:val="left" w:pos="1520"/>
              </w:tabs>
              <w:jc w:val="center"/>
            </w:pPr>
            <w:r>
              <w:t>70% – 74%</w:t>
            </w:r>
          </w:p>
        </w:tc>
        <w:tc>
          <w:tcPr>
            <w:tcW w:w="1872" w:type="dxa"/>
          </w:tcPr>
          <w:p w14:paraId="3786C08C" w14:textId="7ECF096C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8</w:t>
            </w:r>
          </w:p>
        </w:tc>
      </w:tr>
      <w:tr w:rsidR="00650899" w14:paraId="4092FE57" w14:textId="77777777" w:rsidTr="00A205BE">
        <w:tc>
          <w:tcPr>
            <w:tcW w:w="2448" w:type="dxa"/>
          </w:tcPr>
          <w:p w14:paraId="50A466A1" w14:textId="77777777" w:rsidR="00650899" w:rsidRDefault="00650899" w:rsidP="00FD58CC">
            <w:pPr>
              <w:tabs>
                <w:tab w:val="left" w:pos="1520"/>
              </w:tabs>
              <w:jc w:val="center"/>
            </w:pPr>
            <w:r>
              <w:t>Below 70%</w:t>
            </w:r>
          </w:p>
        </w:tc>
        <w:tc>
          <w:tcPr>
            <w:tcW w:w="1872" w:type="dxa"/>
          </w:tcPr>
          <w:p w14:paraId="4E0212AB" w14:textId="77777777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3A9B2EE0" w14:textId="7E50E30C" w:rsidR="00DA4FA3" w:rsidRDefault="2F839CE9" w:rsidP="00DA4FA3">
      <w:pPr>
        <w:pStyle w:val="Heading2"/>
        <w:rPr>
          <w:b/>
          <w:bCs/>
        </w:rPr>
      </w:pPr>
      <w:r w:rsidRPr="4940FEEE">
        <w:rPr>
          <w:b/>
          <w:bCs/>
        </w:rPr>
        <w:lastRenderedPageBreak/>
        <w:t>Indicator</w:t>
      </w:r>
      <w:r w:rsidR="0096002B">
        <w:t>: Master</w:t>
      </w:r>
      <w:r w:rsidR="007351DF">
        <w:t>y</w:t>
      </w:r>
      <w:r w:rsidR="0096002B">
        <w:t xml:space="preserve"> of Teaching Subjects </w:t>
      </w:r>
      <w:r w:rsidR="008750DF">
        <w:t>II</w:t>
      </w:r>
    </w:p>
    <w:p w14:paraId="49054780" w14:textId="6F696D83" w:rsidR="00455FF0" w:rsidRPr="00A226ED" w:rsidRDefault="0096002B" w:rsidP="00DA4FA3">
      <w:pPr>
        <w:spacing w:line="240" w:lineRule="auto"/>
      </w:pPr>
      <w:r w:rsidRPr="4940FEEE">
        <w:rPr>
          <w:b/>
          <w:bCs/>
        </w:rPr>
        <w:t>Data Source</w:t>
      </w:r>
      <w:r>
        <w:t xml:space="preserve">: MTTC Subject Groups Scores </w:t>
      </w:r>
      <w:r>
        <w:br/>
      </w:r>
      <w:r w:rsidRPr="4940FEEE">
        <w:rPr>
          <w:b/>
          <w:bCs/>
        </w:rPr>
        <w:t>Points</w:t>
      </w:r>
      <w:r>
        <w:t>: 5</w:t>
      </w:r>
    </w:p>
    <w:p w14:paraId="4166136A" w14:textId="4B5815EF" w:rsidR="00455FF0" w:rsidRDefault="008B5CAE" w:rsidP="00D9430A">
      <w:pPr>
        <w:spacing w:before="160" w:line="240" w:lineRule="auto"/>
      </w:pPr>
      <w:r w:rsidRPr="00A226ED">
        <w:rPr>
          <w:b/>
          <w:bCs/>
        </w:rPr>
        <w:t>Calculation</w:t>
      </w:r>
      <w:r>
        <w:t>:  Each MTTC test subject was placed into one of 9 groups (</w:t>
      </w:r>
      <w:r w:rsidR="00392857">
        <w:t xml:space="preserve">English/Language Arts, Mathematics, Science, Special Education, Social Studies, World Languages, Career </w:t>
      </w:r>
      <w:r w:rsidR="008750DF">
        <w:t>F</w:t>
      </w:r>
      <w:r w:rsidR="00392857">
        <w:t xml:space="preserve">ocused, Arts &amp; Health, Grade Level). </w:t>
      </w:r>
      <w:r w:rsidR="00CF2251">
        <w:t xml:space="preserve"> </w:t>
      </w:r>
      <w:r w:rsidR="004320E1">
        <w:t>More details on the</w:t>
      </w:r>
      <w:r w:rsidR="00D07045">
        <w:t xml:space="preserve"> classifications for each subject for </w:t>
      </w:r>
      <w:r w:rsidR="00B66007">
        <w:t>201</w:t>
      </w:r>
      <w:r w:rsidR="00105C75">
        <w:t>9</w:t>
      </w:r>
      <w:r w:rsidR="00D07045">
        <w:t>-</w:t>
      </w:r>
      <w:r w:rsidR="00B66007">
        <w:t>2</w:t>
      </w:r>
      <w:r w:rsidR="00105C75">
        <w:t>2</w:t>
      </w:r>
      <w:r w:rsidR="00B66007">
        <w:t xml:space="preserve"> </w:t>
      </w:r>
      <w:r w:rsidR="004320E1">
        <w:t xml:space="preserve">are at the end of the </w:t>
      </w:r>
      <w:hyperlink w:anchor="_2018-21_MTTC_Subject" w:history="1">
        <w:r w:rsidR="004320E1" w:rsidRPr="00C80918">
          <w:rPr>
            <w:rStyle w:val="Hyperlink"/>
          </w:rPr>
          <w:t>document</w:t>
        </w:r>
      </w:hyperlink>
      <w:r w:rsidR="00EA54BE">
        <w:t xml:space="preserve"> (see pages </w:t>
      </w:r>
      <w:r w:rsidR="00B66007">
        <w:t xml:space="preserve">7 </w:t>
      </w:r>
      <w:r w:rsidR="00EA54BE">
        <w:t xml:space="preserve">– </w:t>
      </w:r>
      <w:r w:rsidR="00B66007">
        <w:t>8</w:t>
      </w:r>
      <w:r w:rsidR="00EA54BE">
        <w:t>)</w:t>
      </w:r>
      <w:r w:rsidR="00D07045">
        <w:t>.  R</w:t>
      </w:r>
      <w:r w:rsidR="00CF2251">
        <w:t xml:space="preserve">esults for subjects </w:t>
      </w:r>
      <w:r w:rsidR="007351DF">
        <w:t>in process of elimination</w:t>
      </w:r>
      <w:r w:rsidR="00CF2251">
        <w:t xml:space="preserve"> (e.g., </w:t>
      </w:r>
      <w:r w:rsidR="00D07045">
        <w:t>dance,</w:t>
      </w:r>
      <w:r w:rsidR="00CF2251">
        <w:t xml:space="preserve"> communication arts) are excluded from the calculation.  Each year MDE will determine which tests are current for this calculation.  There is the potential for an individual EPI teaching out a discipline</w:t>
      </w:r>
      <w:r w:rsidR="007351DF">
        <w:t xml:space="preserve"> that is not going away statewi</w:t>
      </w:r>
      <w:r w:rsidR="00D9430A">
        <w:t>d</w:t>
      </w:r>
      <w:r w:rsidR="007351DF">
        <w:t>e</w:t>
      </w:r>
      <w:r w:rsidR="00CF2251">
        <w:t xml:space="preserve"> to also have those results excluded from these calculations.</w:t>
      </w:r>
    </w:p>
    <w:p w14:paraId="40A6EB10" w14:textId="3E2C459F" w:rsidR="00455FF0" w:rsidRDefault="00195129" w:rsidP="00D9430A">
      <w:pPr>
        <w:spacing w:before="160" w:line="240" w:lineRule="auto"/>
      </w:pPr>
      <w:r>
        <w:t xml:space="preserve">To determine the </w:t>
      </w:r>
      <w:r w:rsidR="00DE3DC5">
        <w:t xml:space="preserve">threshold for satisfactory performance, </w:t>
      </w:r>
      <w:r w:rsidR="00BB6B86">
        <w:t>t</w:t>
      </w:r>
      <w:r w:rsidR="00392857">
        <w:t xml:space="preserve">he standard error of measure (SEM) for the state average for </w:t>
      </w:r>
      <w:r w:rsidR="000E75F2">
        <w:t>each</w:t>
      </w:r>
      <w:r w:rsidR="00392857">
        <w:t xml:space="preserve"> subject group was calculated</w:t>
      </w:r>
      <w:r w:rsidR="00883D57">
        <w:t>.</w:t>
      </w:r>
      <w:r w:rsidR="00E82466">
        <w:t xml:space="preserve">  The largest </w:t>
      </w:r>
      <w:r w:rsidR="0071385A">
        <w:t xml:space="preserve">statewide </w:t>
      </w:r>
      <w:r w:rsidR="00E82466">
        <w:t xml:space="preserve">standard error </w:t>
      </w:r>
      <w:r w:rsidR="007351DF">
        <w:t xml:space="preserve">for the data was </w:t>
      </w:r>
      <w:r w:rsidR="00105C75">
        <w:t>3</w:t>
      </w:r>
      <w:r w:rsidR="00666EB0">
        <w:t>.</w:t>
      </w:r>
      <w:r w:rsidR="00105C75">
        <w:t>8</w:t>
      </w:r>
      <w:r w:rsidR="007351DF">
        <w:t>%</w:t>
      </w:r>
      <w:r w:rsidR="00E82466">
        <w:t>, from the Career</w:t>
      </w:r>
      <w:r w:rsidR="00D07045">
        <w:t xml:space="preserve"> Focused</w:t>
      </w:r>
      <w:r w:rsidR="00E82466">
        <w:t xml:space="preserve"> group.  Typically, a 95% confidence interval around a score </w:t>
      </w:r>
      <w:r w:rsidR="007351DF">
        <w:t xml:space="preserve">is </w:t>
      </w:r>
      <w:r w:rsidR="00E82466">
        <w:t xml:space="preserve">calculated by multiplying the standard error by 1.96.  </w:t>
      </w:r>
      <w:r w:rsidR="00D07045">
        <w:t xml:space="preserve">This calculation produced an error band of </w:t>
      </w:r>
      <w:r w:rsidR="00105C75">
        <w:t>7.5</w:t>
      </w:r>
      <w:r w:rsidR="00D07045">
        <w:t xml:space="preserve">%.  </w:t>
      </w:r>
      <w:r w:rsidR="007351DF">
        <w:t xml:space="preserve">While the </w:t>
      </w:r>
      <w:r w:rsidR="0071385A">
        <w:t xml:space="preserve">error band </w:t>
      </w:r>
      <w:r w:rsidR="007351DF">
        <w:t xml:space="preserve">was considerably smaller for most subject groups, the </w:t>
      </w:r>
      <w:r w:rsidR="00105C75">
        <w:t>7.5</w:t>
      </w:r>
      <w:r w:rsidR="007351DF">
        <w:t xml:space="preserve">% was used for all groups for consistency.  Using the </w:t>
      </w:r>
      <w:r w:rsidR="0071385A">
        <w:t>error band</w:t>
      </w:r>
      <w:r w:rsidR="007351DF">
        <w:t xml:space="preserve"> resulted in flagging </w:t>
      </w:r>
      <w:r w:rsidR="0071385A">
        <w:t>each</w:t>
      </w:r>
      <w:r w:rsidR="00411A3D">
        <w:t xml:space="preserve"> subject group score more than </w:t>
      </w:r>
      <w:r w:rsidR="00105C75">
        <w:t>7.5</w:t>
      </w:r>
      <w:r w:rsidR="00411A3D">
        <w:t xml:space="preserve"> percentage points below the state average</w:t>
      </w:r>
      <w:r w:rsidR="0071385A">
        <w:t xml:space="preserve"> for each EPI</w:t>
      </w:r>
      <w:r w:rsidR="00411A3D">
        <w:t>.</w:t>
      </w:r>
    </w:p>
    <w:p w14:paraId="369DF677" w14:textId="77777777" w:rsidR="00455FF0" w:rsidRDefault="0071385A" w:rsidP="00D9430A">
      <w:pPr>
        <w:spacing w:before="160" w:line="240" w:lineRule="auto"/>
      </w:pPr>
      <w:r>
        <w:t>Not all EPIs offer each subject group, the fewest subject groups offered is 1, and a handful of institutions offer all 9.  The calculation had to account for this difference in institutional offerings.</w:t>
      </w:r>
      <w:r w:rsidR="001322DF">
        <w:t xml:space="preserve"> </w:t>
      </w:r>
      <w:r>
        <w:t>The point calculation is based on the number of subject groups offered, and those flagged and not flagged for each EPI.</w:t>
      </w:r>
    </w:p>
    <w:p w14:paraId="6C043180" w14:textId="6201108D" w:rsidR="00650899" w:rsidRDefault="0071385A" w:rsidP="00D9430A">
      <w:pPr>
        <w:spacing w:before="160" w:line="240" w:lineRule="auto"/>
      </w:pPr>
      <w:r>
        <w:t xml:space="preserve">The percent recorded is the </w:t>
      </w:r>
      <w:r w:rsidR="00392857">
        <w:t xml:space="preserve">number of subject groups offered by the EPI for which the score </w:t>
      </w:r>
      <w:r w:rsidR="00650899">
        <w:t xml:space="preserve">did </w:t>
      </w:r>
      <w:r w:rsidR="00650899" w:rsidRPr="00650899">
        <w:rPr>
          <w:u w:val="single"/>
        </w:rPr>
        <w:t>not</w:t>
      </w:r>
      <w:r w:rsidR="00650899">
        <w:t xml:space="preserve"> fall</w:t>
      </w:r>
      <w:r w:rsidR="00392857">
        <w:t xml:space="preserve"> more than </w:t>
      </w:r>
      <w:r w:rsidR="00D07045">
        <w:t>1.96</w:t>
      </w:r>
      <w:r w:rsidR="00392857">
        <w:t xml:space="preserve"> SEM below the state average, divided by the number of subject groups offered by the EPI.  For example, if the EPI was more than </w:t>
      </w:r>
      <w:r w:rsidR="00D07045">
        <w:t>1.96</w:t>
      </w:r>
      <w:r w:rsidR="00392857">
        <w:t xml:space="preserve"> SEM below the state average for 2 subject groups, and the EPI offered 6 subject groups, the calculation would be </w:t>
      </w:r>
      <w:r w:rsidR="00650899">
        <w:t>4</w:t>
      </w:r>
      <w:r w:rsidR="00392857">
        <w:t xml:space="preserve">/6 or </w:t>
      </w:r>
      <w:r w:rsidR="00650899">
        <w:t>67</w:t>
      </w:r>
      <w:r w:rsidR="00392857">
        <w:t>%</w:t>
      </w:r>
      <w:r w:rsidR="00A012A1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65"/>
        <w:gridCol w:w="1080"/>
      </w:tblGrid>
      <w:tr w:rsidR="00650899" w14:paraId="098AC3D6" w14:textId="77777777" w:rsidTr="00414F27">
        <w:tc>
          <w:tcPr>
            <w:tcW w:w="2965" w:type="dxa"/>
            <w:shd w:val="clear" w:color="auto" w:fill="A8D08D" w:themeFill="accent6" w:themeFillTint="99"/>
            <w:vAlign w:val="bottom"/>
          </w:tcPr>
          <w:p w14:paraId="4FAB9F0E" w14:textId="34AA1D96" w:rsidR="00650899" w:rsidRDefault="00650899" w:rsidP="00414F27">
            <w:pPr>
              <w:tabs>
                <w:tab w:val="left" w:pos="1520"/>
              </w:tabs>
              <w:jc w:val="center"/>
            </w:pPr>
            <w:r>
              <w:t xml:space="preserve">Percentage </w:t>
            </w:r>
            <w:r w:rsidR="00364CB0">
              <w:t xml:space="preserve">of subject groups NOT below </w:t>
            </w:r>
            <w:r w:rsidR="00D07045">
              <w:t xml:space="preserve">1.96 </w:t>
            </w:r>
            <w:r w:rsidR="00364CB0">
              <w:t>SEM</w:t>
            </w:r>
          </w:p>
        </w:tc>
        <w:tc>
          <w:tcPr>
            <w:tcW w:w="1080" w:type="dxa"/>
            <w:shd w:val="clear" w:color="auto" w:fill="A8D08D" w:themeFill="accent6" w:themeFillTint="99"/>
            <w:vAlign w:val="bottom"/>
          </w:tcPr>
          <w:p w14:paraId="0601AE5C" w14:textId="7777777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650899" w14:paraId="069737EC" w14:textId="77777777" w:rsidTr="00414F27">
        <w:tc>
          <w:tcPr>
            <w:tcW w:w="2965" w:type="dxa"/>
            <w:vAlign w:val="bottom"/>
          </w:tcPr>
          <w:p w14:paraId="2B879600" w14:textId="5945CF02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90% – 100%</w:t>
            </w:r>
          </w:p>
        </w:tc>
        <w:tc>
          <w:tcPr>
            <w:tcW w:w="1080" w:type="dxa"/>
          </w:tcPr>
          <w:p w14:paraId="0B924CC1" w14:textId="77777777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5</w:t>
            </w:r>
          </w:p>
        </w:tc>
      </w:tr>
      <w:tr w:rsidR="00650899" w14:paraId="2D89039E" w14:textId="77777777" w:rsidTr="00414F27">
        <w:tc>
          <w:tcPr>
            <w:tcW w:w="2965" w:type="dxa"/>
            <w:vAlign w:val="bottom"/>
          </w:tcPr>
          <w:p w14:paraId="724907DD" w14:textId="4A78F355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80% – 89%</w:t>
            </w:r>
          </w:p>
        </w:tc>
        <w:tc>
          <w:tcPr>
            <w:tcW w:w="1080" w:type="dxa"/>
          </w:tcPr>
          <w:p w14:paraId="76BF8CC9" w14:textId="291B8C0F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4</w:t>
            </w:r>
          </w:p>
        </w:tc>
      </w:tr>
      <w:tr w:rsidR="00650899" w14:paraId="59C32C76" w14:textId="77777777" w:rsidTr="00414F27">
        <w:tc>
          <w:tcPr>
            <w:tcW w:w="2965" w:type="dxa"/>
            <w:vAlign w:val="bottom"/>
          </w:tcPr>
          <w:p w14:paraId="7C5C7CF7" w14:textId="1D1BD5DB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70% – 79%</w:t>
            </w:r>
          </w:p>
        </w:tc>
        <w:tc>
          <w:tcPr>
            <w:tcW w:w="1080" w:type="dxa"/>
          </w:tcPr>
          <w:p w14:paraId="03331542" w14:textId="3D04F80A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3</w:t>
            </w:r>
          </w:p>
        </w:tc>
      </w:tr>
      <w:tr w:rsidR="00650899" w14:paraId="06744DB9" w14:textId="77777777" w:rsidTr="00414F27">
        <w:tc>
          <w:tcPr>
            <w:tcW w:w="2965" w:type="dxa"/>
            <w:vAlign w:val="bottom"/>
          </w:tcPr>
          <w:p w14:paraId="2F8DA082" w14:textId="4FE7F219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60% – 69%</w:t>
            </w:r>
          </w:p>
        </w:tc>
        <w:tc>
          <w:tcPr>
            <w:tcW w:w="1080" w:type="dxa"/>
          </w:tcPr>
          <w:p w14:paraId="67536C72" w14:textId="2CA6BF56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2</w:t>
            </w:r>
          </w:p>
        </w:tc>
      </w:tr>
      <w:tr w:rsidR="00650899" w14:paraId="57EFF924" w14:textId="77777777" w:rsidTr="00414F27">
        <w:tc>
          <w:tcPr>
            <w:tcW w:w="2965" w:type="dxa"/>
            <w:vAlign w:val="bottom"/>
          </w:tcPr>
          <w:p w14:paraId="36D672CC" w14:textId="103F8420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50% – 59%</w:t>
            </w:r>
          </w:p>
        </w:tc>
        <w:tc>
          <w:tcPr>
            <w:tcW w:w="1080" w:type="dxa"/>
          </w:tcPr>
          <w:p w14:paraId="5BFEC59D" w14:textId="6FE833FE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1</w:t>
            </w:r>
          </w:p>
        </w:tc>
      </w:tr>
      <w:tr w:rsidR="00650899" w14:paraId="0304761B" w14:textId="77777777" w:rsidTr="00414F27">
        <w:tc>
          <w:tcPr>
            <w:tcW w:w="2965" w:type="dxa"/>
            <w:vAlign w:val="bottom"/>
          </w:tcPr>
          <w:p w14:paraId="247B815E" w14:textId="7777777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Below 70%</w:t>
            </w:r>
          </w:p>
        </w:tc>
        <w:tc>
          <w:tcPr>
            <w:tcW w:w="1080" w:type="dxa"/>
          </w:tcPr>
          <w:p w14:paraId="311EBB4E" w14:textId="77777777" w:rsidR="00650899" w:rsidRDefault="00650899" w:rsidP="00D9430A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5F05E40B" w14:textId="77777777" w:rsidR="00A226ED" w:rsidRDefault="00A226ED" w:rsidP="00D9430A">
      <w:pPr>
        <w:spacing w:after="0" w:line="240" w:lineRule="auto"/>
      </w:pPr>
    </w:p>
    <w:p w14:paraId="3B81FE8C" w14:textId="53166628" w:rsidR="0096002B" w:rsidRPr="00A226ED" w:rsidRDefault="4E775AFA" w:rsidP="00DA4FA3">
      <w:pPr>
        <w:pStyle w:val="Heading2"/>
      </w:pPr>
      <w:r w:rsidRPr="4940FEEE">
        <w:rPr>
          <w:b/>
          <w:bCs/>
        </w:rPr>
        <w:t>Indicator</w:t>
      </w:r>
      <w:r w:rsidR="0096002B">
        <w:t xml:space="preserve">: </w:t>
      </w:r>
      <w:r w:rsidR="00826544">
        <w:t xml:space="preserve"> </w:t>
      </w:r>
      <w:r w:rsidR="0096002B">
        <w:t>Candidate Teaching Skill</w:t>
      </w:r>
    </w:p>
    <w:p w14:paraId="050F07E5" w14:textId="6EF5460B" w:rsidR="0096002B" w:rsidRPr="00A226ED" w:rsidRDefault="0096002B" w:rsidP="00D9430A">
      <w:pPr>
        <w:spacing w:after="0" w:line="240" w:lineRule="auto"/>
      </w:pPr>
      <w:r w:rsidRPr="00A226ED">
        <w:rPr>
          <w:b/>
          <w:bCs/>
        </w:rPr>
        <w:t>Data Source</w:t>
      </w:r>
      <w:r w:rsidRPr="00A226ED">
        <w:t>:</w:t>
      </w:r>
      <w:r w:rsidR="00826544">
        <w:t xml:space="preserve"> </w:t>
      </w:r>
      <w:r w:rsidRPr="00A226ED">
        <w:t xml:space="preserve"> Candidate Supervisor and Cooperating Teacher Survey Results</w:t>
      </w:r>
    </w:p>
    <w:p w14:paraId="2CAE9729" w14:textId="528D0D61" w:rsidR="0096002B" w:rsidRPr="00A226ED" w:rsidRDefault="0096002B" w:rsidP="00D9430A">
      <w:pPr>
        <w:spacing w:after="0" w:line="240" w:lineRule="auto"/>
      </w:pPr>
      <w:r w:rsidRPr="00A226ED">
        <w:rPr>
          <w:b/>
          <w:bCs/>
        </w:rPr>
        <w:t>Points</w:t>
      </w:r>
      <w:r w:rsidRPr="00A226ED">
        <w:t xml:space="preserve">: </w:t>
      </w:r>
      <w:r w:rsidR="00826544">
        <w:t xml:space="preserve"> </w:t>
      </w:r>
      <w:r w:rsidRPr="00A226ED">
        <w:t>15</w:t>
      </w:r>
    </w:p>
    <w:p w14:paraId="2E0EB5CE" w14:textId="4EA7A474" w:rsidR="00784BFC" w:rsidRDefault="008750DF" w:rsidP="00D9430A">
      <w:pPr>
        <w:spacing w:before="160" w:line="240" w:lineRule="auto"/>
      </w:pPr>
      <w:r w:rsidRPr="00A226ED">
        <w:rPr>
          <w:b/>
          <w:bCs/>
        </w:rPr>
        <w:t>Calculation</w:t>
      </w:r>
      <w:r>
        <w:t xml:space="preserve">:  </w:t>
      </w:r>
      <w:r w:rsidR="00784BFC">
        <w:t>Efficacy was calculated using questions 1</w:t>
      </w:r>
      <w:r w:rsidR="00DA4F39">
        <w:t xml:space="preserve"> through </w:t>
      </w:r>
      <w:r w:rsidR="00840C0E">
        <w:t>2</w:t>
      </w:r>
      <w:r w:rsidR="00C32CED">
        <w:t>6</w:t>
      </w:r>
      <w:r w:rsidR="00840C0E">
        <w:t xml:space="preserve"> </w:t>
      </w:r>
      <w:r w:rsidR="00784BFC">
        <w:t>on the Candidate Supervisor and Cooperating Teacher Surveys</w:t>
      </w:r>
      <w:r w:rsidR="00A732B6">
        <w:t xml:space="preserve"> (</w:t>
      </w:r>
      <w:r w:rsidR="008C4731">
        <w:t xml:space="preserve">see </w:t>
      </w:r>
      <w:r w:rsidR="00840C0E">
        <w:t>CSSS</w:t>
      </w:r>
      <w:r w:rsidR="00A732B6">
        <w:t>)</w:t>
      </w:r>
      <w:r w:rsidR="00784BFC">
        <w:t>.  Efficacy for each group was calculated separately.  These two percentages were then averaged (summed and divided by 2) to obtain the percentage for each EPI.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620"/>
      </w:tblGrid>
      <w:tr w:rsidR="00650899" w14:paraId="1968D0ED" w14:textId="77777777" w:rsidTr="00414F27">
        <w:tc>
          <w:tcPr>
            <w:tcW w:w="2155" w:type="dxa"/>
            <w:shd w:val="clear" w:color="auto" w:fill="A8D08D" w:themeFill="accent6" w:themeFillTint="99"/>
            <w:vAlign w:val="bottom"/>
          </w:tcPr>
          <w:p w14:paraId="28DB8D3E" w14:textId="7777777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Percentage Efficacy</w:t>
            </w:r>
          </w:p>
        </w:tc>
        <w:tc>
          <w:tcPr>
            <w:tcW w:w="1620" w:type="dxa"/>
            <w:shd w:val="clear" w:color="auto" w:fill="A8D08D" w:themeFill="accent6" w:themeFillTint="99"/>
            <w:vAlign w:val="bottom"/>
          </w:tcPr>
          <w:p w14:paraId="09C6599F" w14:textId="7777777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650899" w14:paraId="4875C2E1" w14:textId="77777777" w:rsidTr="00414F27">
        <w:tc>
          <w:tcPr>
            <w:tcW w:w="2155" w:type="dxa"/>
            <w:vAlign w:val="bottom"/>
          </w:tcPr>
          <w:p w14:paraId="04CD9EC9" w14:textId="3237705B" w:rsidR="00650899" w:rsidRDefault="00650899" w:rsidP="00414F27">
            <w:pPr>
              <w:tabs>
                <w:tab w:val="left" w:pos="1520"/>
              </w:tabs>
              <w:jc w:val="center"/>
            </w:pPr>
            <w:r>
              <w:t xml:space="preserve">90% – </w:t>
            </w:r>
            <w:r w:rsidR="00840C0E">
              <w:t>100</w:t>
            </w:r>
            <w:r>
              <w:t>%</w:t>
            </w:r>
          </w:p>
        </w:tc>
        <w:tc>
          <w:tcPr>
            <w:tcW w:w="1620" w:type="dxa"/>
            <w:vAlign w:val="bottom"/>
          </w:tcPr>
          <w:p w14:paraId="5F512E9A" w14:textId="6D67C40D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15</w:t>
            </w:r>
          </w:p>
        </w:tc>
      </w:tr>
      <w:tr w:rsidR="00650899" w14:paraId="6BCF7AAC" w14:textId="77777777" w:rsidTr="00414F27">
        <w:tc>
          <w:tcPr>
            <w:tcW w:w="2155" w:type="dxa"/>
            <w:vAlign w:val="bottom"/>
          </w:tcPr>
          <w:p w14:paraId="68C21205" w14:textId="29D5326C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85% – 89%</w:t>
            </w:r>
          </w:p>
        </w:tc>
        <w:tc>
          <w:tcPr>
            <w:tcW w:w="1620" w:type="dxa"/>
            <w:vAlign w:val="bottom"/>
          </w:tcPr>
          <w:p w14:paraId="783A3350" w14:textId="659D4515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13</w:t>
            </w:r>
          </w:p>
        </w:tc>
      </w:tr>
      <w:tr w:rsidR="00650899" w14:paraId="0CBD20BD" w14:textId="77777777" w:rsidTr="00414F27">
        <w:tc>
          <w:tcPr>
            <w:tcW w:w="2155" w:type="dxa"/>
            <w:vAlign w:val="bottom"/>
          </w:tcPr>
          <w:p w14:paraId="11A20702" w14:textId="72FC2D8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80% – 84%</w:t>
            </w:r>
          </w:p>
        </w:tc>
        <w:tc>
          <w:tcPr>
            <w:tcW w:w="1620" w:type="dxa"/>
            <w:vAlign w:val="bottom"/>
          </w:tcPr>
          <w:p w14:paraId="0FF38835" w14:textId="31092830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11</w:t>
            </w:r>
          </w:p>
        </w:tc>
      </w:tr>
      <w:tr w:rsidR="00650899" w14:paraId="7A893963" w14:textId="77777777" w:rsidTr="00414F27">
        <w:tc>
          <w:tcPr>
            <w:tcW w:w="2155" w:type="dxa"/>
            <w:vAlign w:val="bottom"/>
          </w:tcPr>
          <w:p w14:paraId="4E9DB113" w14:textId="4F6B7B25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75% – 79%</w:t>
            </w:r>
          </w:p>
        </w:tc>
        <w:tc>
          <w:tcPr>
            <w:tcW w:w="1620" w:type="dxa"/>
            <w:vAlign w:val="bottom"/>
          </w:tcPr>
          <w:p w14:paraId="129F0B82" w14:textId="47577F45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9</w:t>
            </w:r>
          </w:p>
        </w:tc>
      </w:tr>
      <w:tr w:rsidR="00650899" w14:paraId="04725F91" w14:textId="77777777" w:rsidTr="00414F27">
        <w:tc>
          <w:tcPr>
            <w:tcW w:w="2155" w:type="dxa"/>
            <w:vAlign w:val="bottom"/>
          </w:tcPr>
          <w:p w14:paraId="7D6B8FE2" w14:textId="696011E1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70% – 74%</w:t>
            </w:r>
          </w:p>
        </w:tc>
        <w:tc>
          <w:tcPr>
            <w:tcW w:w="1620" w:type="dxa"/>
            <w:vAlign w:val="bottom"/>
          </w:tcPr>
          <w:p w14:paraId="227BDA4C" w14:textId="02BA5F00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7</w:t>
            </w:r>
          </w:p>
        </w:tc>
      </w:tr>
      <w:tr w:rsidR="00650899" w14:paraId="5811D5DC" w14:textId="77777777" w:rsidTr="00414F27">
        <w:tc>
          <w:tcPr>
            <w:tcW w:w="2155" w:type="dxa"/>
            <w:vAlign w:val="bottom"/>
          </w:tcPr>
          <w:p w14:paraId="32C8FBDE" w14:textId="7777777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Below 70%</w:t>
            </w:r>
          </w:p>
        </w:tc>
        <w:tc>
          <w:tcPr>
            <w:tcW w:w="1620" w:type="dxa"/>
            <w:vAlign w:val="bottom"/>
          </w:tcPr>
          <w:p w14:paraId="63734458" w14:textId="7777777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40E9D7DC" w14:textId="1DED306B" w:rsidR="0096002B" w:rsidRPr="00A226ED" w:rsidRDefault="67B0E206" w:rsidP="00DA4FA3">
      <w:pPr>
        <w:pStyle w:val="Heading2"/>
      </w:pPr>
      <w:r w:rsidRPr="4940FEEE">
        <w:rPr>
          <w:b/>
          <w:bCs/>
        </w:rPr>
        <w:lastRenderedPageBreak/>
        <w:t>Indicator</w:t>
      </w:r>
      <w:r w:rsidR="0096002B">
        <w:t>: Candidate Rating of Program</w:t>
      </w:r>
    </w:p>
    <w:p w14:paraId="660AF633" w14:textId="7172235D" w:rsidR="0096002B" w:rsidRPr="00A226ED" w:rsidRDefault="0096002B" w:rsidP="00D9430A">
      <w:pPr>
        <w:spacing w:after="0" w:line="240" w:lineRule="auto"/>
      </w:pPr>
      <w:r w:rsidRPr="00A226ED">
        <w:rPr>
          <w:b/>
          <w:bCs/>
        </w:rPr>
        <w:t>Data Source</w:t>
      </w:r>
      <w:r w:rsidRPr="00A226ED">
        <w:t>: Teacher Candidate Survey Results</w:t>
      </w:r>
    </w:p>
    <w:p w14:paraId="291FA728" w14:textId="77777777" w:rsidR="00D600F6" w:rsidRPr="00A226ED" w:rsidRDefault="0096002B" w:rsidP="00D600F6">
      <w:pPr>
        <w:spacing w:after="0" w:line="240" w:lineRule="auto"/>
      </w:pPr>
      <w:r w:rsidRPr="00A226ED">
        <w:rPr>
          <w:b/>
          <w:bCs/>
        </w:rPr>
        <w:t>Points</w:t>
      </w:r>
      <w:r w:rsidRPr="00A226ED">
        <w:t>: 10</w:t>
      </w:r>
    </w:p>
    <w:p w14:paraId="174830D8" w14:textId="2A836FC0" w:rsidR="000D792A" w:rsidRDefault="002D5826" w:rsidP="00826544">
      <w:pPr>
        <w:spacing w:before="160" w:line="240" w:lineRule="auto"/>
      </w:pPr>
      <w:r w:rsidRPr="00A226ED">
        <w:rPr>
          <w:b/>
          <w:bCs/>
        </w:rPr>
        <w:t>Calculation</w:t>
      </w:r>
      <w:r>
        <w:t xml:space="preserve">: </w:t>
      </w:r>
      <w:r w:rsidR="000D792A">
        <w:t>This calculation is based on the Teacher Candidate Survey results,</w:t>
      </w:r>
      <w:r w:rsidR="00840C0E">
        <w:t xml:space="preserve"> pooling</w:t>
      </w:r>
      <w:r w:rsidR="000D792A">
        <w:t xml:space="preserve"> questions 1</w:t>
      </w:r>
      <w:r w:rsidR="00DA4F39">
        <w:t xml:space="preserve"> through </w:t>
      </w:r>
      <w:r w:rsidR="00840C0E">
        <w:t>4</w:t>
      </w:r>
      <w:r w:rsidR="006A6456">
        <w:t>1</w:t>
      </w:r>
      <w:r w:rsidR="00C32CED">
        <w:t xml:space="preserve"> (except Q26)</w:t>
      </w:r>
      <w:r w:rsidR="00840C0E">
        <w:t xml:space="preserve"> an</w:t>
      </w:r>
      <w:r w:rsidR="00471112">
        <w:t xml:space="preserve">d calculating total efficacy </w:t>
      </w:r>
      <w:r w:rsidR="0063398F">
        <w:t>(</w:t>
      </w:r>
      <w:r w:rsidR="008C4731">
        <w:t xml:space="preserve">see </w:t>
      </w:r>
      <w:r w:rsidR="00840C0E">
        <w:t>CSSS</w:t>
      </w:r>
      <w:r w:rsidR="0063398F">
        <w:t>)</w:t>
      </w:r>
      <w:r w:rsidR="00411A3D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620"/>
      </w:tblGrid>
      <w:tr w:rsidR="00650899" w14:paraId="4718969C" w14:textId="77777777" w:rsidTr="00414F27">
        <w:tc>
          <w:tcPr>
            <w:tcW w:w="2245" w:type="dxa"/>
            <w:shd w:val="clear" w:color="auto" w:fill="A8D08D" w:themeFill="accent6" w:themeFillTint="99"/>
            <w:vAlign w:val="bottom"/>
          </w:tcPr>
          <w:p w14:paraId="331D39BB" w14:textId="7777777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Percentage Efficacy</w:t>
            </w:r>
          </w:p>
        </w:tc>
        <w:tc>
          <w:tcPr>
            <w:tcW w:w="1620" w:type="dxa"/>
            <w:shd w:val="clear" w:color="auto" w:fill="A8D08D" w:themeFill="accent6" w:themeFillTint="99"/>
            <w:vAlign w:val="bottom"/>
          </w:tcPr>
          <w:p w14:paraId="033C9B25" w14:textId="7777777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650899" w14:paraId="47E82C65" w14:textId="77777777" w:rsidTr="00414F27">
        <w:tc>
          <w:tcPr>
            <w:tcW w:w="2245" w:type="dxa"/>
            <w:vAlign w:val="bottom"/>
          </w:tcPr>
          <w:p w14:paraId="06AC4BCB" w14:textId="41A47C90" w:rsidR="00650899" w:rsidRDefault="00650899" w:rsidP="00414F27">
            <w:pPr>
              <w:tabs>
                <w:tab w:val="left" w:pos="1520"/>
              </w:tabs>
              <w:jc w:val="center"/>
            </w:pPr>
            <w:r>
              <w:t xml:space="preserve">90% – </w:t>
            </w:r>
            <w:r w:rsidR="00471112">
              <w:t>100</w:t>
            </w:r>
            <w:r>
              <w:t>%</w:t>
            </w:r>
          </w:p>
        </w:tc>
        <w:tc>
          <w:tcPr>
            <w:tcW w:w="1620" w:type="dxa"/>
            <w:vAlign w:val="bottom"/>
          </w:tcPr>
          <w:p w14:paraId="1AE46AF6" w14:textId="51C58069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10</w:t>
            </w:r>
          </w:p>
        </w:tc>
      </w:tr>
      <w:tr w:rsidR="00650899" w14:paraId="191D2EF7" w14:textId="77777777" w:rsidTr="00414F27">
        <w:tc>
          <w:tcPr>
            <w:tcW w:w="2245" w:type="dxa"/>
            <w:vAlign w:val="bottom"/>
          </w:tcPr>
          <w:p w14:paraId="30FBEE0B" w14:textId="422864E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85% – 89%</w:t>
            </w:r>
          </w:p>
        </w:tc>
        <w:tc>
          <w:tcPr>
            <w:tcW w:w="1620" w:type="dxa"/>
            <w:vAlign w:val="bottom"/>
          </w:tcPr>
          <w:p w14:paraId="4BE7DD2F" w14:textId="20DC26C5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8</w:t>
            </w:r>
          </w:p>
        </w:tc>
      </w:tr>
      <w:tr w:rsidR="00650899" w14:paraId="1DA85403" w14:textId="77777777" w:rsidTr="00414F27">
        <w:tc>
          <w:tcPr>
            <w:tcW w:w="2245" w:type="dxa"/>
            <w:vAlign w:val="bottom"/>
          </w:tcPr>
          <w:p w14:paraId="0F9F79DF" w14:textId="22B3DA85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80% – 84%</w:t>
            </w:r>
          </w:p>
        </w:tc>
        <w:tc>
          <w:tcPr>
            <w:tcW w:w="1620" w:type="dxa"/>
            <w:vAlign w:val="bottom"/>
          </w:tcPr>
          <w:p w14:paraId="74132611" w14:textId="38C81940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6</w:t>
            </w:r>
          </w:p>
        </w:tc>
      </w:tr>
      <w:tr w:rsidR="00650899" w14:paraId="3F3BFA0B" w14:textId="77777777" w:rsidTr="00414F27">
        <w:tc>
          <w:tcPr>
            <w:tcW w:w="2245" w:type="dxa"/>
            <w:vAlign w:val="bottom"/>
          </w:tcPr>
          <w:p w14:paraId="5DABB80D" w14:textId="68D2E9AB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75% – 79%</w:t>
            </w:r>
          </w:p>
        </w:tc>
        <w:tc>
          <w:tcPr>
            <w:tcW w:w="1620" w:type="dxa"/>
            <w:vAlign w:val="bottom"/>
          </w:tcPr>
          <w:p w14:paraId="1FC0B712" w14:textId="6F7D833D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4</w:t>
            </w:r>
          </w:p>
        </w:tc>
      </w:tr>
      <w:tr w:rsidR="00650899" w14:paraId="4E00647A" w14:textId="77777777" w:rsidTr="00414F27">
        <w:tc>
          <w:tcPr>
            <w:tcW w:w="2245" w:type="dxa"/>
            <w:vAlign w:val="bottom"/>
          </w:tcPr>
          <w:p w14:paraId="7AF43CED" w14:textId="7E5B3EA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70% – 74%</w:t>
            </w:r>
          </w:p>
        </w:tc>
        <w:tc>
          <w:tcPr>
            <w:tcW w:w="1620" w:type="dxa"/>
            <w:vAlign w:val="bottom"/>
          </w:tcPr>
          <w:p w14:paraId="06D25480" w14:textId="3D20B6F1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2</w:t>
            </w:r>
          </w:p>
        </w:tc>
      </w:tr>
      <w:tr w:rsidR="00650899" w14:paraId="2EF2456E" w14:textId="77777777" w:rsidTr="00414F27">
        <w:tc>
          <w:tcPr>
            <w:tcW w:w="2245" w:type="dxa"/>
            <w:vAlign w:val="bottom"/>
          </w:tcPr>
          <w:p w14:paraId="001B7C15" w14:textId="77777777" w:rsidR="00650899" w:rsidRDefault="00650899" w:rsidP="00414F27">
            <w:pPr>
              <w:tabs>
                <w:tab w:val="left" w:pos="1520"/>
              </w:tabs>
              <w:jc w:val="center"/>
            </w:pPr>
            <w:r>
              <w:t>Below 70%</w:t>
            </w:r>
          </w:p>
        </w:tc>
        <w:tc>
          <w:tcPr>
            <w:tcW w:w="1620" w:type="dxa"/>
            <w:vAlign w:val="bottom"/>
          </w:tcPr>
          <w:p w14:paraId="3973EA5A" w14:textId="2B171817" w:rsidR="00650899" w:rsidRDefault="002D5826" w:rsidP="00414F27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4C23021B" w14:textId="28B542B1" w:rsidR="00A22DA6" w:rsidRPr="00A226ED" w:rsidRDefault="00A22DA6" w:rsidP="00315853">
      <w:pPr>
        <w:pStyle w:val="Heading1"/>
      </w:pPr>
      <w:r w:rsidRPr="4940FEEE">
        <w:t>Performance as Classroom Teachers</w:t>
      </w:r>
    </w:p>
    <w:p w14:paraId="517524C2" w14:textId="255675E9" w:rsidR="0096002B" w:rsidRDefault="7AD180A0" w:rsidP="00DA4FA3">
      <w:pPr>
        <w:pStyle w:val="Heading2"/>
      </w:pPr>
      <w:r w:rsidRPr="4940FEEE">
        <w:rPr>
          <w:b/>
          <w:bCs/>
        </w:rPr>
        <w:t>Indicator</w:t>
      </w:r>
      <w:r w:rsidR="0096002B">
        <w:t>: Impact on P-12 Learning</w:t>
      </w:r>
    </w:p>
    <w:p w14:paraId="160FF9E0" w14:textId="4F38ABEA" w:rsidR="0096002B" w:rsidRDefault="0096002B" w:rsidP="00D600F6">
      <w:pPr>
        <w:spacing w:after="0" w:line="240" w:lineRule="auto"/>
      </w:pPr>
      <w:r w:rsidRPr="00A226ED">
        <w:rPr>
          <w:b/>
          <w:bCs/>
        </w:rPr>
        <w:t>Data Source</w:t>
      </w:r>
      <w:r>
        <w:t>: Educator Effectiveness Ratings</w:t>
      </w:r>
    </w:p>
    <w:p w14:paraId="7DF1C037" w14:textId="0A8D51E3" w:rsidR="0096002B" w:rsidRDefault="0096002B" w:rsidP="00D600F6">
      <w:pPr>
        <w:spacing w:after="0" w:line="240" w:lineRule="auto"/>
      </w:pPr>
      <w:r w:rsidRPr="00A226ED">
        <w:rPr>
          <w:b/>
          <w:bCs/>
        </w:rPr>
        <w:t>Points</w:t>
      </w:r>
      <w:r>
        <w:t>: 15</w:t>
      </w:r>
    </w:p>
    <w:p w14:paraId="2CA651F3" w14:textId="483C9F63" w:rsidR="00364CB0" w:rsidRDefault="000D792A" w:rsidP="00D9430A">
      <w:pPr>
        <w:spacing w:before="160" w:line="240" w:lineRule="auto"/>
      </w:pPr>
      <w:r w:rsidRPr="00A226ED">
        <w:rPr>
          <w:b/>
          <w:bCs/>
        </w:rPr>
        <w:t>Calculation</w:t>
      </w:r>
      <w:r>
        <w:t xml:space="preserve">:  The calculation for this component comes from the annual data </w:t>
      </w:r>
      <w:r w:rsidR="00364CB0">
        <w:t xml:space="preserve">pull regarding educational effectiveness ratings. </w:t>
      </w:r>
      <w:r w:rsidR="00400CD6">
        <w:t>Eligible teachers for this calculation are those</w:t>
      </w:r>
      <w:r w:rsidR="00B61707">
        <w:t xml:space="preserve"> who were</w:t>
      </w:r>
      <w:r w:rsidR="00400CD6">
        <w:t xml:space="preserve"> (1) </w:t>
      </w:r>
      <w:r w:rsidR="00B51B0B">
        <w:t xml:space="preserve">initial </w:t>
      </w:r>
      <w:r w:rsidR="00400CD6">
        <w:t>certifi</w:t>
      </w:r>
      <w:r w:rsidR="00B51B0B">
        <w:t>cation received</w:t>
      </w:r>
      <w:r w:rsidR="00400CD6">
        <w:t xml:space="preserve"> within the last </w:t>
      </w:r>
      <w:r w:rsidR="00B51B0B">
        <w:t xml:space="preserve">five </w:t>
      </w:r>
      <w:r w:rsidR="00400CD6">
        <w:t xml:space="preserve">years, (2) have no more than </w:t>
      </w:r>
      <w:r w:rsidR="001601F7">
        <w:t>3</w:t>
      </w:r>
      <w:r w:rsidR="00B61707">
        <w:t xml:space="preserve"> years of teaching, and</w:t>
      </w:r>
      <w:r w:rsidR="00400CD6">
        <w:t xml:space="preserve"> (3) </w:t>
      </w:r>
      <w:r w:rsidR="00B61707">
        <w:t xml:space="preserve">have an effectiveness rating in the most recent </w:t>
      </w:r>
      <w:r w:rsidR="004A0B4B">
        <w:t>ac</w:t>
      </w:r>
      <w:r w:rsidR="00DA100C">
        <w:t>ademic</w:t>
      </w:r>
      <w:r w:rsidR="004A0B4B">
        <w:t xml:space="preserve"> </w:t>
      </w:r>
      <w:r w:rsidR="00B61707">
        <w:t>year.</w:t>
      </w:r>
    </w:p>
    <w:p w14:paraId="1359CCE6" w14:textId="089194F4" w:rsidR="001322DF" w:rsidRDefault="1B416655" w:rsidP="00D9430A">
      <w:pPr>
        <w:spacing w:before="160" w:line="240" w:lineRule="auto"/>
      </w:pPr>
      <w:r>
        <w:t>Within this population, t</w:t>
      </w:r>
      <w:r w:rsidR="44050925">
        <w:t xml:space="preserve">he number of effective </w:t>
      </w:r>
      <w:r w:rsidR="7D5DE086">
        <w:t>and</w:t>
      </w:r>
      <w:r w:rsidR="44050925">
        <w:t xml:space="preserve"> highly effective ratings are summed</w:t>
      </w:r>
      <w:r w:rsidR="0FCD2088">
        <w:t xml:space="preserve"> for the most recent year</w:t>
      </w:r>
      <w:r w:rsidR="44050925">
        <w:t xml:space="preserve">, and this total is divided by the total number of eligible </w:t>
      </w:r>
      <w:r w:rsidR="548F4110">
        <w:t xml:space="preserve">ratings </w:t>
      </w:r>
      <w:r w:rsidR="44050925">
        <w:t xml:space="preserve">during this time frame. </w:t>
      </w:r>
      <w:proofErr w:type="gramStart"/>
      <w:r w:rsidR="7D5DE086">
        <w:t xml:space="preserve">Each </w:t>
      </w:r>
      <w:r w:rsidR="2303C28D">
        <w:t>individual</w:t>
      </w:r>
      <w:proofErr w:type="gramEnd"/>
      <w:r w:rsidR="2303C28D">
        <w:t xml:space="preserve"> </w:t>
      </w:r>
      <w:r w:rsidR="7D5DE086">
        <w:t>is only counted once in the annual rating.</w:t>
      </w:r>
      <w:r w:rsidR="2F0C5A82">
        <w:t xml:space="preserve">  </w:t>
      </w:r>
      <w:r>
        <w:t xml:space="preserve">The data for this calculation is a part of the data provided to EPIs in February each year. </w:t>
      </w:r>
    </w:p>
    <w:p w14:paraId="2F984E16" w14:textId="51DDB50D" w:rsidR="001322DF" w:rsidRDefault="001322DF" w:rsidP="00D9430A">
      <w:pPr>
        <w:spacing w:before="160" w:line="240" w:lineRule="auto"/>
      </w:pPr>
      <w:r>
        <w:t>Specific rules for gathering this data:</w:t>
      </w:r>
    </w:p>
    <w:p w14:paraId="6D1B5E2D" w14:textId="6BEFEE31" w:rsidR="001322DF" w:rsidRDefault="001322DF" w:rsidP="00D9430A">
      <w:pPr>
        <w:pStyle w:val="ListParagraph"/>
        <w:numPr>
          <w:ilvl w:val="0"/>
          <w:numId w:val="2"/>
        </w:numPr>
        <w:spacing w:before="160" w:line="240" w:lineRule="auto"/>
      </w:pPr>
      <w:r>
        <w:t xml:space="preserve">At this time, only effectiveness ratings </w:t>
      </w:r>
      <w:r w:rsidR="00B0175C">
        <w:t xml:space="preserve">reported in the Registry of Educational Personnel (REP) </w:t>
      </w:r>
      <w:r>
        <w:t>are used, and only end-of-year labels are used.  Non-public schools report on a different timeline</w:t>
      </w:r>
      <w:r w:rsidR="00F21A2E">
        <w:t xml:space="preserve"> and does not delineate the assignment of the individuals reported</w:t>
      </w:r>
      <w:r>
        <w:t xml:space="preserve">, making ratings a year behind the </w:t>
      </w:r>
      <w:r w:rsidR="00947ADD">
        <w:t>REP evaluations</w:t>
      </w:r>
      <w:r>
        <w:t xml:space="preserve"> and not directly comparable.</w:t>
      </w:r>
    </w:p>
    <w:p w14:paraId="3E6806E0" w14:textId="62422C99" w:rsidR="0096002B" w:rsidRDefault="001322DF" w:rsidP="00826544">
      <w:pPr>
        <w:pStyle w:val="ListParagraph"/>
        <w:numPr>
          <w:ilvl w:val="0"/>
          <w:numId w:val="2"/>
        </w:numPr>
        <w:spacing w:before="160" w:after="240" w:line="240" w:lineRule="auto"/>
      </w:pPr>
      <w:r>
        <w:t>Deduplication of records (reduction of multiple records for an individual to a single record) was conducted,</w:t>
      </w:r>
      <w:r w:rsidR="00D331E2">
        <w:t xml:space="preserve"> with only the teacher’s </w:t>
      </w:r>
      <w:r>
        <w:t xml:space="preserve">lowest effectiveness rating </w:t>
      </w:r>
      <w:r w:rsidR="00D331E2">
        <w:t>included in the analysis</w:t>
      </w:r>
      <w:r>
        <w:t>.</w:t>
      </w:r>
    </w:p>
    <w:p w14:paraId="20797AF7" w14:textId="6BBC53AE" w:rsidR="00400CD6" w:rsidRPr="00D600F6" w:rsidRDefault="00400CD6" w:rsidP="00826544">
      <w:pPr>
        <w:pStyle w:val="ListParagraph"/>
        <w:numPr>
          <w:ilvl w:val="0"/>
          <w:numId w:val="2"/>
        </w:numPr>
        <w:spacing w:before="160" w:after="240" w:line="240" w:lineRule="auto"/>
      </w:pPr>
      <w:r>
        <w:t xml:space="preserve">Teachers with missing effectiveness labels (due to school uploading error) were excluded from the analysis.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40"/>
      </w:tblGrid>
      <w:tr w:rsidR="00650899" w14:paraId="1D9F808C" w14:textId="77777777" w:rsidTr="00C7229A">
        <w:tc>
          <w:tcPr>
            <w:tcW w:w="2155" w:type="dxa"/>
            <w:shd w:val="clear" w:color="auto" w:fill="FFD966" w:themeFill="accent4" w:themeFillTint="99"/>
            <w:vAlign w:val="bottom"/>
          </w:tcPr>
          <w:p w14:paraId="66CA8593" w14:textId="77777777" w:rsidR="00650899" w:rsidRDefault="00650899" w:rsidP="00C7229A">
            <w:pPr>
              <w:tabs>
                <w:tab w:val="left" w:pos="1520"/>
              </w:tabs>
              <w:jc w:val="center"/>
            </w:pPr>
            <w:r>
              <w:t>Percentage Efficacy</w:t>
            </w:r>
          </w:p>
        </w:tc>
        <w:tc>
          <w:tcPr>
            <w:tcW w:w="1440" w:type="dxa"/>
            <w:shd w:val="clear" w:color="auto" w:fill="FFD966" w:themeFill="accent4" w:themeFillTint="99"/>
            <w:vAlign w:val="bottom"/>
          </w:tcPr>
          <w:p w14:paraId="02735564" w14:textId="77777777" w:rsidR="00650899" w:rsidRDefault="00650899" w:rsidP="00C7229A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650899" w14:paraId="13EDC510" w14:textId="77777777" w:rsidTr="00C7229A">
        <w:tc>
          <w:tcPr>
            <w:tcW w:w="2155" w:type="dxa"/>
            <w:vAlign w:val="bottom"/>
          </w:tcPr>
          <w:p w14:paraId="73B6D663" w14:textId="0BD703F6" w:rsidR="00650899" w:rsidRDefault="00650899" w:rsidP="00C7229A">
            <w:pPr>
              <w:tabs>
                <w:tab w:val="left" w:pos="1520"/>
              </w:tabs>
              <w:jc w:val="center"/>
            </w:pPr>
            <w:r>
              <w:t xml:space="preserve">90% – </w:t>
            </w:r>
            <w:r w:rsidR="00400CD6">
              <w:t>100</w:t>
            </w:r>
            <w:r>
              <w:t>%</w:t>
            </w:r>
          </w:p>
        </w:tc>
        <w:tc>
          <w:tcPr>
            <w:tcW w:w="1440" w:type="dxa"/>
            <w:vAlign w:val="bottom"/>
          </w:tcPr>
          <w:p w14:paraId="484B8302" w14:textId="26C86127" w:rsidR="00650899" w:rsidRDefault="002D5826" w:rsidP="00C7229A">
            <w:pPr>
              <w:tabs>
                <w:tab w:val="left" w:pos="1520"/>
              </w:tabs>
              <w:jc w:val="center"/>
            </w:pPr>
            <w:r>
              <w:t>15</w:t>
            </w:r>
          </w:p>
        </w:tc>
      </w:tr>
      <w:tr w:rsidR="00650899" w14:paraId="4A3D8BB5" w14:textId="77777777" w:rsidTr="00C7229A">
        <w:tc>
          <w:tcPr>
            <w:tcW w:w="2155" w:type="dxa"/>
            <w:vAlign w:val="bottom"/>
          </w:tcPr>
          <w:p w14:paraId="23ADA86B" w14:textId="6F1E71D8" w:rsidR="00650899" w:rsidRDefault="00650899" w:rsidP="00C7229A">
            <w:pPr>
              <w:tabs>
                <w:tab w:val="left" w:pos="1520"/>
              </w:tabs>
              <w:jc w:val="center"/>
            </w:pPr>
            <w:r>
              <w:t>85% – 89%</w:t>
            </w:r>
          </w:p>
        </w:tc>
        <w:tc>
          <w:tcPr>
            <w:tcW w:w="1440" w:type="dxa"/>
            <w:vAlign w:val="bottom"/>
          </w:tcPr>
          <w:p w14:paraId="5822CDC9" w14:textId="785A7B39" w:rsidR="00650899" w:rsidRDefault="002D5826" w:rsidP="00C7229A">
            <w:pPr>
              <w:tabs>
                <w:tab w:val="left" w:pos="1520"/>
              </w:tabs>
              <w:jc w:val="center"/>
            </w:pPr>
            <w:r>
              <w:t>13</w:t>
            </w:r>
          </w:p>
        </w:tc>
      </w:tr>
      <w:tr w:rsidR="00650899" w14:paraId="64806AD9" w14:textId="77777777" w:rsidTr="00C7229A">
        <w:tc>
          <w:tcPr>
            <w:tcW w:w="2155" w:type="dxa"/>
            <w:vAlign w:val="bottom"/>
          </w:tcPr>
          <w:p w14:paraId="362589FA" w14:textId="7E026C0B" w:rsidR="00650899" w:rsidRDefault="00650899" w:rsidP="00C7229A">
            <w:pPr>
              <w:tabs>
                <w:tab w:val="left" w:pos="1520"/>
              </w:tabs>
              <w:jc w:val="center"/>
            </w:pPr>
            <w:r>
              <w:t>80% – 84%</w:t>
            </w:r>
          </w:p>
        </w:tc>
        <w:tc>
          <w:tcPr>
            <w:tcW w:w="1440" w:type="dxa"/>
            <w:vAlign w:val="bottom"/>
          </w:tcPr>
          <w:p w14:paraId="592B12E3" w14:textId="363E670C" w:rsidR="00650899" w:rsidRDefault="002D5826" w:rsidP="00C7229A">
            <w:pPr>
              <w:tabs>
                <w:tab w:val="left" w:pos="1520"/>
              </w:tabs>
              <w:jc w:val="center"/>
            </w:pPr>
            <w:r>
              <w:t>11</w:t>
            </w:r>
          </w:p>
        </w:tc>
      </w:tr>
      <w:tr w:rsidR="00650899" w14:paraId="2E98DC05" w14:textId="77777777" w:rsidTr="00C7229A">
        <w:tc>
          <w:tcPr>
            <w:tcW w:w="2155" w:type="dxa"/>
            <w:vAlign w:val="bottom"/>
          </w:tcPr>
          <w:p w14:paraId="2D90059D" w14:textId="3DF7D683" w:rsidR="00650899" w:rsidRDefault="00650899" w:rsidP="00C7229A">
            <w:pPr>
              <w:tabs>
                <w:tab w:val="left" w:pos="1520"/>
              </w:tabs>
              <w:jc w:val="center"/>
            </w:pPr>
            <w:r>
              <w:t>75% – 79%</w:t>
            </w:r>
          </w:p>
        </w:tc>
        <w:tc>
          <w:tcPr>
            <w:tcW w:w="1440" w:type="dxa"/>
            <w:vAlign w:val="bottom"/>
          </w:tcPr>
          <w:p w14:paraId="09341867" w14:textId="130400F1" w:rsidR="00650899" w:rsidRDefault="002D5826" w:rsidP="00C7229A">
            <w:pPr>
              <w:tabs>
                <w:tab w:val="left" w:pos="1520"/>
              </w:tabs>
              <w:jc w:val="center"/>
            </w:pPr>
            <w:r>
              <w:t>9</w:t>
            </w:r>
          </w:p>
        </w:tc>
      </w:tr>
      <w:tr w:rsidR="00650899" w14:paraId="02641D1E" w14:textId="77777777" w:rsidTr="00C7229A">
        <w:tc>
          <w:tcPr>
            <w:tcW w:w="2155" w:type="dxa"/>
            <w:vAlign w:val="bottom"/>
          </w:tcPr>
          <w:p w14:paraId="393D72ED" w14:textId="67ED2472" w:rsidR="00650899" w:rsidRDefault="00650899" w:rsidP="00C7229A">
            <w:pPr>
              <w:tabs>
                <w:tab w:val="left" w:pos="1520"/>
              </w:tabs>
              <w:jc w:val="center"/>
            </w:pPr>
            <w:r>
              <w:t>70% – 74%</w:t>
            </w:r>
          </w:p>
        </w:tc>
        <w:tc>
          <w:tcPr>
            <w:tcW w:w="1440" w:type="dxa"/>
            <w:vAlign w:val="bottom"/>
          </w:tcPr>
          <w:p w14:paraId="056EB00A" w14:textId="1BA4DF44" w:rsidR="00650899" w:rsidRDefault="002D5826" w:rsidP="00C7229A">
            <w:pPr>
              <w:tabs>
                <w:tab w:val="left" w:pos="1520"/>
              </w:tabs>
              <w:jc w:val="center"/>
            </w:pPr>
            <w:r>
              <w:t>7</w:t>
            </w:r>
          </w:p>
        </w:tc>
      </w:tr>
      <w:tr w:rsidR="00650899" w14:paraId="55CAD1ED" w14:textId="77777777" w:rsidTr="00C7229A">
        <w:tc>
          <w:tcPr>
            <w:tcW w:w="2155" w:type="dxa"/>
            <w:vAlign w:val="bottom"/>
          </w:tcPr>
          <w:p w14:paraId="55BDC530" w14:textId="77777777" w:rsidR="00650899" w:rsidRDefault="00650899" w:rsidP="00C7229A">
            <w:pPr>
              <w:tabs>
                <w:tab w:val="left" w:pos="1520"/>
              </w:tabs>
              <w:jc w:val="center"/>
            </w:pPr>
            <w:r>
              <w:t>Below 70%</w:t>
            </w:r>
          </w:p>
        </w:tc>
        <w:tc>
          <w:tcPr>
            <w:tcW w:w="1440" w:type="dxa"/>
            <w:vAlign w:val="bottom"/>
          </w:tcPr>
          <w:p w14:paraId="6C42B29B" w14:textId="1F15F2A5" w:rsidR="00650899" w:rsidRDefault="002D5826" w:rsidP="00C7229A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6F290122" w14:textId="47D154EA" w:rsidR="00C2043B" w:rsidRDefault="00C2043B" w:rsidP="008444C5"/>
    <w:p w14:paraId="44B36302" w14:textId="30EA20F0" w:rsidR="00A560EE" w:rsidRDefault="00A560EE" w:rsidP="008444C5"/>
    <w:p w14:paraId="20FE6F88" w14:textId="5C096DCD" w:rsidR="00A560EE" w:rsidRDefault="00A560EE" w:rsidP="008444C5"/>
    <w:p w14:paraId="70C6308E" w14:textId="77777777" w:rsidR="00A560EE" w:rsidRDefault="00A560EE" w:rsidP="008444C5"/>
    <w:p w14:paraId="47F17AAA" w14:textId="77777777" w:rsidR="00A560EE" w:rsidRDefault="00A560EE" w:rsidP="00A560EE">
      <w:pPr>
        <w:pStyle w:val="Heading2"/>
      </w:pPr>
      <w:r>
        <w:rPr>
          <w:b/>
          <w:bCs/>
        </w:rPr>
        <w:lastRenderedPageBreak/>
        <w:t xml:space="preserve">Category: </w:t>
      </w:r>
      <w:r>
        <w:t>Performance as Classroom Teachers</w:t>
      </w:r>
    </w:p>
    <w:p w14:paraId="15FB9C29" w14:textId="77777777" w:rsidR="00A560EE" w:rsidRPr="00F94422" w:rsidRDefault="00A560EE" w:rsidP="00A560EE">
      <w:pPr>
        <w:spacing w:after="0" w:line="240" w:lineRule="auto"/>
        <w:rPr>
          <w:b/>
          <w:bCs/>
        </w:rPr>
      </w:pPr>
      <w:r w:rsidRPr="00F94422">
        <w:rPr>
          <w:b/>
          <w:bCs/>
        </w:rPr>
        <w:t>Indicator:</w:t>
      </w:r>
      <w:r w:rsidRPr="00F94422">
        <w:t xml:space="preserve"> Impact on P-12 Learning</w:t>
      </w:r>
    </w:p>
    <w:p w14:paraId="70A2808C" w14:textId="77777777" w:rsidR="00A560EE" w:rsidRDefault="00A560EE" w:rsidP="00A560EE">
      <w:pPr>
        <w:spacing w:after="0" w:line="240" w:lineRule="auto"/>
      </w:pPr>
      <w:r w:rsidRPr="00530C66">
        <w:rPr>
          <w:b/>
          <w:bCs/>
        </w:rPr>
        <w:t>Data Source:</w:t>
      </w:r>
      <w:r>
        <w:t xml:space="preserve"> Administrator Survey </w:t>
      </w:r>
    </w:p>
    <w:p w14:paraId="252A68C8" w14:textId="77777777" w:rsidR="00A560EE" w:rsidRDefault="00A560EE" w:rsidP="00A560EE">
      <w:pPr>
        <w:spacing w:after="0" w:line="240" w:lineRule="auto"/>
      </w:pPr>
      <w:r w:rsidRPr="00530C66">
        <w:rPr>
          <w:b/>
          <w:bCs/>
        </w:rPr>
        <w:t>Points:</w:t>
      </w:r>
      <w:r>
        <w:t xml:space="preserve"> 5</w:t>
      </w:r>
    </w:p>
    <w:p w14:paraId="6702861D" w14:textId="77777777" w:rsidR="00A560EE" w:rsidRDefault="00A560EE" w:rsidP="00A560EE">
      <w:pPr>
        <w:spacing w:after="0" w:line="240" w:lineRule="auto"/>
      </w:pPr>
    </w:p>
    <w:p w14:paraId="66DFEEFC" w14:textId="49CC979E" w:rsidR="00A560EE" w:rsidRDefault="00A560EE" w:rsidP="00A560EE">
      <w:pPr>
        <w:spacing w:after="0" w:line="240" w:lineRule="auto"/>
      </w:pPr>
      <w:r w:rsidRPr="00C145AB">
        <w:rPr>
          <w:b/>
          <w:bCs/>
        </w:rPr>
        <w:t>Calculation:</w:t>
      </w:r>
      <w:r>
        <w:t xml:space="preserve"> Total efficacy was calculated across the 2</w:t>
      </w:r>
      <w:r w:rsidR="00EC7CC6">
        <w:t>2</w:t>
      </w:r>
      <w:r>
        <w:t xml:space="preserve"> questions of the Administrator Survey. Unlike the other indicators, “n/a” responses are not included in the denominator of this calculation. </w:t>
      </w:r>
    </w:p>
    <w:p w14:paraId="37E01B54" w14:textId="77777777" w:rsidR="00A560EE" w:rsidRDefault="00A560EE" w:rsidP="00A560EE">
      <w:pPr>
        <w:spacing w:after="0" w:line="240" w:lineRule="auto"/>
      </w:pPr>
    </w:p>
    <w:tbl>
      <w:tblPr>
        <w:tblStyle w:val="TableGrid"/>
        <w:tblW w:w="4176" w:type="dxa"/>
        <w:tblLook w:val="04A0" w:firstRow="1" w:lastRow="0" w:firstColumn="1" w:lastColumn="0" w:noHBand="0" w:noVBand="1"/>
      </w:tblPr>
      <w:tblGrid>
        <w:gridCol w:w="2448"/>
        <w:gridCol w:w="1728"/>
      </w:tblGrid>
      <w:tr w:rsidR="00A560EE" w14:paraId="78E52A06" w14:textId="77777777" w:rsidTr="000601FE">
        <w:tc>
          <w:tcPr>
            <w:tcW w:w="2448" w:type="dxa"/>
            <w:shd w:val="clear" w:color="auto" w:fill="FFE599" w:themeFill="accent4" w:themeFillTint="66"/>
          </w:tcPr>
          <w:p w14:paraId="2B8540EE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Percentage Efficacy</w:t>
            </w:r>
          </w:p>
        </w:tc>
        <w:tc>
          <w:tcPr>
            <w:tcW w:w="1728" w:type="dxa"/>
            <w:shd w:val="clear" w:color="auto" w:fill="FFE599" w:themeFill="accent4" w:themeFillTint="66"/>
          </w:tcPr>
          <w:p w14:paraId="3218B504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A560EE" w14:paraId="1D7ECD29" w14:textId="77777777" w:rsidTr="000601FE">
        <w:tc>
          <w:tcPr>
            <w:tcW w:w="2448" w:type="dxa"/>
          </w:tcPr>
          <w:p w14:paraId="0A8A24A4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90% – 100%</w:t>
            </w:r>
          </w:p>
        </w:tc>
        <w:tc>
          <w:tcPr>
            <w:tcW w:w="1728" w:type="dxa"/>
          </w:tcPr>
          <w:p w14:paraId="70AC4FD0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5</w:t>
            </w:r>
          </w:p>
        </w:tc>
      </w:tr>
      <w:tr w:rsidR="00A560EE" w14:paraId="4C2F15C7" w14:textId="77777777" w:rsidTr="000601FE">
        <w:tc>
          <w:tcPr>
            <w:tcW w:w="2448" w:type="dxa"/>
          </w:tcPr>
          <w:p w14:paraId="24915545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85% – 89%</w:t>
            </w:r>
          </w:p>
        </w:tc>
        <w:tc>
          <w:tcPr>
            <w:tcW w:w="1728" w:type="dxa"/>
          </w:tcPr>
          <w:p w14:paraId="7680F475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4</w:t>
            </w:r>
          </w:p>
        </w:tc>
      </w:tr>
      <w:tr w:rsidR="00A560EE" w14:paraId="00440EFC" w14:textId="77777777" w:rsidTr="000601FE">
        <w:tc>
          <w:tcPr>
            <w:tcW w:w="2448" w:type="dxa"/>
          </w:tcPr>
          <w:p w14:paraId="45635513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80% – 84%</w:t>
            </w:r>
          </w:p>
        </w:tc>
        <w:tc>
          <w:tcPr>
            <w:tcW w:w="1728" w:type="dxa"/>
          </w:tcPr>
          <w:p w14:paraId="0EC39551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3</w:t>
            </w:r>
          </w:p>
        </w:tc>
      </w:tr>
      <w:tr w:rsidR="00A560EE" w14:paraId="106317F4" w14:textId="77777777" w:rsidTr="000601FE">
        <w:tc>
          <w:tcPr>
            <w:tcW w:w="2448" w:type="dxa"/>
          </w:tcPr>
          <w:p w14:paraId="4DFF82C2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75% – 79%</w:t>
            </w:r>
          </w:p>
        </w:tc>
        <w:tc>
          <w:tcPr>
            <w:tcW w:w="1728" w:type="dxa"/>
          </w:tcPr>
          <w:p w14:paraId="5E482292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2</w:t>
            </w:r>
          </w:p>
        </w:tc>
      </w:tr>
      <w:tr w:rsidR="00A560EE" w14:paraId="5918444F" w14:textId="77777777" w:rsidTr="000601FE">
        <w:tc>
          <w:tcPr>
            <w:tcW w:w="2448" w:type="dxa"/>
          </w:tcPr>
          <w:p w14:paraId="449AA81C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70% – 74%</w:t>
            </w:r>
          </w:p>
        </w:tc>
        <w:tc>
          <w:tcPr>
            <w:tcW w:w="1728" w:type="dxa"/>
          </w:tcPr>
          <w:p w14:paraId="7C30040C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1</w:t>
            </w:r>
          </w:p>
        </w:tc>
      </w:tr>
      <w:tr w:rsidR="00A560EE" w14:paraId="0FF51272" w14:textId="77777777" w:rsidTr="000601FE">
        <w:tc>
          <w:tcPr>
            <w:tcW w:w="2448" w:type="dxa"/>
          </w:tcPr>
          <w:p w14:paraId="13015F99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Below 70%</w:t>
            </w:r>
          </w:p>
        </w:tc>
        <w:tc>
          <w:tcPr>
            <w:tcW w:w="1728" w:type="dxa"/>
          </w:tcPr>
          <w:p w14:paraId="36BD1C57" w14:textId="77777777" w:rsidR="00A560EE" w:rsidRDefault="00A560EE" w:rsidP="000601FE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217D02D7" w14:textId="6604F7CA" w:rsidR="00A22DA6" w:rsidRPr="00A226ED" w:rsidRDefault="00A22DA6" w:rsidP="00315853">
      <w:pPr>
        <w:pStyle w:val="Heading1"/>
      </w:pPr>
      <w:r w:rsidRPr="4940FEEE">
        <w:t>Robust Clinical Experiences</w:t>
      </w:r>
    </w:p>
    <w:p w14:paraId="6856BDEB" w14:textId="7EAFC770" w:rsidR="0096002B" w:rsidRPr="00A226ED" w:rsidRDefault="5323CBDD" w:rsidP="00DA4FA3">
      <w:pPr>
        <w:pStyle w:val="Heading2"/>
      </w:pPr>
      <w:r w:rsidRPr="4940FEEE">
        <w:rPr>
          <w:b/>
          <w:bCs/>
        </w:rPr>
        <w:t>Indicator</w:t>
      </w:r>
      <w:r w:rsidR="0096002B">
        <w:t>: Candidate Placement Opportunities</w:t>
      </w:r>
    </w:p>
    <w:p w14:paraId="62C0BFE7" w14:textId="2F567CBD" w:rsidR="0096002B" w:rsidRPr="00A226ED" w:rsidRDefault="0096002B" w:rsidP="00D600F6">
      <w:pPr>
        <w:spacing w:after="0" w:line="240" w:lineRule="auto"/>
      </w:pPr>
      <w:r w:rsidRPr="00A226ED">
        <w:rPr>
          <w:b/>
          <w:bCs/>
        </w:rPr>
        <w:t>Data Source</w:t>
      </w:r>
      <w:r w:rsidRPr="00A226ED">
        <w:t xml:space="preserve">: </w:t>
      </w:r>
      <w:r w:rsidR="00EC3C7C" w:rsidRPr="00A226ED">
        <w:t>Diversity of Placement Sites during Student Teaching</w:t>
      </w:r>
    </w:p>
    <w:p w14:paraId="178EF177" w14:textId="3D4D5289" w:rsidR="0096002B" w:rsidRPr="00A226ED" w:rsidRDefault="0096002B" w:rsidP="00D600F6">
      <w:pPr>
        <w:spacing w:after="0" w:line="240" w:lineRule="auto"/>
      </w:pPr>
      <w:r w:rsidRPr="00A226ED">
        <w:rPr>
          <w:b/>
          <w:bCs/>
        </w:rPr>
        <w:t>Points</w:t>
      </w:r>
      <w:r w:rsidRPr="00A226ED">
        <w:t xml:space="preserve">: </w:t>
      </w:r>
      <w:r w:rsidR="00EC3C7C" w:rsidRPr="00A226ED">
        <w:t>4</w:t>
      </w:r>
    </w:p>
    <w:p w14:paraId="60641FDD" w14:textId="0540EC41" w:rsidR="00AD1508" w:rsidRDefault="00364CB0" w:rsidP="00D9430A">
      <w:pPr>
        <w:spacing w:before="160" w:line="240" w:lineRule="auto"/>
      </w:pPr>
      <w:r w:rsidRPr="00A226ED">
        <w:rPr>
          <w:b/>
          <w:bCs/>
        </w:rPr>
        <w:t>Calculation</w:t>
      </w:r>
      <w:r>
        <w:t xml:space="preserve">:  Each </w:t>
      </w:r>
      <w:r w:rsidR="00D81228">
        <w:t xml:space="preserve">PK-12 </w:t>
      </w:r>
      <w:r>
        <w:t>school within the state has been determined to be diverse</w:t>
      </w:r>
      <w:r w:rsidR="00B61707">
        <w:t xml:space="preserve"> (or not)</w:t>
      </w:r>
      <w:r>
        <w:t xml:space="preserve"> base</w:t>
      </w:r>
      <w:r w:rsidR="00404C7F">
        <w:t>d</w:t>
      </w:r>
      <w:r>
        <w:t xml:space="preserve"> on the </w:t>
      </w:r>
      <w:r w:rsidR="00AD1508">
        <w:t xml:space="preserve">reporting of the </w:t>
      </w:r>
      <w:r>
        <w:t xml:space="preserve">following </w:t>
      </w:r>
      <w:r w:rsidR="00B72ACC">
        <w:t>student demographics</w:t>
      </w:r>
      <w:r w:rsidR="00AD1508">
        <w:t xml:space="preserve"> at the school</w:t>
      </w:r>
      <w:r>
        <w:t>:</w:t>
      </w:r>
      <w:r w:rsidR="00B66A77">
        <w:t xml:space="preserve"> race/ethnicity,</w:t>
      </w:r>
      <w:r w:rsidR="00E30153">
        <w:t xml:space="preserve"> economic status, English language learner</w:t>
      </w:r>
      <w:r w:rsidR="00B72ACC">
        <w:t xml:space="preserve"> statu</w:t>
      </w:r>
      <w:r w:rsidR="00E30153">
        <w:t>s, and disabilit</w:t>
      </w:r>
      <w:r w:rsidR="00B72ACC">
        <w:t>y statu</w:t>
      </w:r>
      <w:r w:rsidR="00E30153">
        <w:t>s</w:t>
      </w:r>
      <w:r w:rsidR="00147B03">
        <w:t xml:space="preserve">. </w:t>
      </w:r>
      <w:r w:rsidR="002C456E">
        <w:t xml:space="preserve"> If the school was </w:t>
      </w:r>
      <w:r w:rsidR="00147B03">
        <w:t xml:space="preserve">reported </w:t>
      </w:r>
      <w:r w:rsidR="002C456E">
        <w:t xml:space="preserve">at or above the state </w:t>
      </w:r>
      <w:r w:rsidR="00AB09D1">
        <w:t>average for any group</w:t>
      </w:r>
      <w:r w:rsidR="00147B03">
        <w:t xml:space="preserve"> in the most recent academic year reporting</w:t>
      </w:r>
      <w:r w:rsidR="00AB09D1">
        <w:t xml:space="preserve">, </w:t>
      </w:r>
      <w:r>
        <w:t>it is considered diverse for the purposes of this calculation.</w:t>
      </w:r>
    </w:p>
    <w:p w14:paraId="2627181F" w14:textId="6C87CC52" w:rsidR="005F43CD" w:rsidRDefault="00364CB0" w:rsidP="00D9430A">
      <w:pPr>
        <w:spacing w:before="160" w:line="240" w:lineRule="auto"/>
      </w:pPr>
      <w:r>
        <w:t xml:space="preserve">Each student teaching placement was </w:t>
      </w:r>
      <w:r w:rsidR="00C7229A">
        <w:t>recorded,</w:t>
      </w:r>
      <w:r>
        <w:t xml:space="preserve"> </w:t>
      </w:r>
      <w:r w:rsidR="002E6A17">
        <w:t xml:space="preserve">and </w:t>
      </w:r>
      <w:r>
        <w:t>the diversity</w:t>
      </w:r>
      <w:r w:rsidR="00E30153">
        <w:t xml:space="preserve"> </w:t>
      </w:r>
      <w:r w:rsidR="00D10589">
        <w:t xml:space="preserve">status </w:t>
      </w:r>
      <w:r w:rsidR="00E30153">
        <w:t>(yes/no)</w:t>
      </w:r>
      <w:r>
        <w:t xml:space="preserve"> noted.  The percentage of diverse student teaching placements is the total diverse placements divided by the total number of placements</w:t>
      </w:r>
      <w:r w:rsidR="002E6A17">
        <w:t xml:space="preserve"> for each EPI</w:t>
      </w:r>
      <w:r>
        <w:t>.</w:t>
      </w:r>
      <w:r w:rsidR="00DC1793">
        <w:t xml:space="preserve"> </w:t>
      </w:r>
      <w:r w:rsidR="00FD7A25">
        <w:t>Students who were placed in the same school building for both a primary and secondary assignment were only included once in the calculation.</w:t>
      </w:r>
    </w:p>
    <w:p w14:paraId="5662270E" w14:textId="3651B398" w:rsidR="005F43CD" w:rsidRDefault="5FC393F9" w:rsidP="00D9430A">
      <w:pPr>
        <w:spacing w:before="160" w:line="240" w:lineRule="auto"/>
      </w:pPr>
      <w:r>
        <w:t xml:space="preserve">Note, </w:t>
      </w:r>
      <w:r w:rsidR="7A404D50">
        <w:t xml:space="preserve">the data used for this calculation are based on the placement locations reported in the Candidate Suite Surveys. These placements were cross-referenced with data available on </w:t>
      </w:r>
      <w:hyperlink r:id="rId11" w:history="1">
        <w:r w:rsidR="7A404D50" w:rsidRPr="46A11F26">
          <w:rPr>
            <w:rStyle w:val="Hyperlink"/>
          </w:rPr>
          <w:t>https://www.mischooldata.org/</w:t>
        </w:r>
      </w:hyperlink>
      <w:r w:rsidR="248EA659">
        <w:t xml:space="preserve"> to obtain diversity information</w:t>
      </w:r>
      <w:r w:rsidR="16E10E1B">
        <w:t>.</w:t>
      </w:r>
      <w:r w:rsidR="2D02A83D">
        <w:t xml:space="preserve"> In some cases, usually involving candidates placed in an early child center, district diversity data rather than school diversity data was used if a </w:t>
      </w:r>
      <w:r w:rsidR="5BED076B">
        <w:t>school-specific</w:t>
      </w:r>
      <w:r w:rsidR="2D02A83D">
        <w:t xml:space="preserve"> match was unavailable. </w:t>
      </w:r>
      <w:r w:rsidR="7A404D50">
        <w:t xml:space="preserve"> Diversity data was only available for Michigan public schools; however, EPIs were offered an opportunity to provide diversity data for private and out</w:t>
      </w:r>
      <w:r w:rsidR="2D02A83D">
        <w:t>-of-state schools, if available. Candidates where no diversity data was available were excluded from the analysis. Each institut</w:t>
      </w:r>
      <w:r w:rsidR="46A11F26">
        <w:t>ion was provided with their results for reference.</w:t>
      </w:r>
    </w:p>
    <w:p w14:paraId="68B34BD4" w14:textId="46F30E83" w:rsidR="0002273E" w:rsidRDefault="2D02A83D" w:rsidP="46A11F26">
      <w:pPr>
        <w:spacing w:before="160" w:line="240" w:lineRule="auto"/>
      </w:pPr>
      <w:r>
        <w:t>To determine point attribution, the statewide average diversity rate was used as the target.  The statewide placement rate in diverse setting at the time of this calculation was 72.</w:t>
      </w:r>
      <w:r w:rsidR="00EC7CC6">
        <w:t>7</w:t>
      </w:r>
      <w:r>
        <w:t xml:space="preserve">%.  </w:t>
      </w:r>
      <w:r w:rsidR="001B40D2">
        <w:t>A 95% confidence interval was then calculated around the state average, which was +/- 1.</w:t>
      </w:r>
      <w:r w:rsidR="00EC7CC6">
        <w:t>9</w:t>
      </w:r>
      <w:r w:rsidR="001B40D2">
        <w:t>%</w:t>
      </w:r>
      <w:r>
        <w:t>. All institutions within 1.</w:t>
      </w:r>
      <w:r w:rsidR="00EC7CC6">
        <w:t>9</w:t>
      </w:r>
      <w:r>
        <w:t>% of the state average (7</w:t>
      </w:r>
      <w:r w:rsidR="00EC7CC6">
        <w:t>0.9</w:t>
      </w:r>
      <w:r>
        <w:t>% and above) are awarded full points.</w:t>
      </w:r>
      <w:r w:rsidR="00C6058C">
        <w:t xml:space="preserve"> Those below the 7</w:t>
      </w:r>
      <w:r w:rsidR="00EC7CC6">
        <w:t>0.9</w:t>
      </w:r>
      <w:r w:rsidR="00C6058C">
        <w:t>% threshold were assigned points according to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620"/>
      </w:tblGrid>
      <w:tr w:rsidR="0002273E" w14:paraId="63CD8AFE" w14:textId="77777777" w:rsidTr="46A11F26">
        <w:tc>
          <w:tcPr>
            <w:tcW w:w="2245" w:type="dxa"/>
            <w:shd w:val="clear" w:color="auto" w:fill="F4B083" w:themeFill="accent2" w:themeFillTint="99"/>
            <w:vAlign w:val="bottom"/>
          </w:tcPr>
          <w:p w14:paraId="4170F7C8" w14:textId="77777777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Percentage Diversity</w:t>
            </w:r>
          </w:p>
        </w:tc>
        <w:tc>
          <w:tcPr>
            <w:tcW w:w="1620" w:type="dxa"/>
            <w:shd w:val="clear" w:color="auto" w:fill="F4B083" w:themeFill="accent2" w:themeFillTint="99"/>
            <w:vAlign w:val="bottom"/>
          </w:tcPr>
          <w:p w14:paraId="25DE7F7C" w14:textId="77777777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02273E" w14:paraId="15D69A62" w14:textId="77777777" w:rsidTr="46A11F26">
        <w:tc>
          <w:tcPr>
            <w:tcW w:w="2245" w:type="dxa"/>
            <w:vAlign w:val="bottom"/>
          </w:tcPr>
          <w:p w14:paraId="5F5A0F08" w14:textId="371BD3D2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7</w:t>
            </w:r>
            <w:r w:rsidR="00EC7CC6">
              <w:t>0</w:t>
            </w:r>
            <w:r>
              <w:t>.</w:t>
            </w:r>
            <w:r w:rsidR="00EC7CC6">
              <w:t>9</w:t>
            </w:r>
            <w:r>
              <w:t>% - 100%</w:t>
            </w:r>
          </w:p>
        </w:tc>
        <w:tc>
          <w:tcPr>
            <w:tcW w:w="1620" w:type="dxa"/>
            <w:vAlign w:val="bottom"/>
          </w:tcPr>
          <w:p w14:paraId="1CFFA12A" w14:textId="77777777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4</w:t>
            </w:r>
          </w:p>
        </w:tc>
      </w:tr>
      <w:tr w:rsidR="0002273E" w14:paraId="64E8A934" w14:textId="77777777" w:rsidTr="46A11F26">
        <w:tc>
          <w:tcPr>
            <w:tcW w:w="2245" w:type="dxa"/>
            <w:vAlign w:val="bottom"/>
          </w:tcPr>
          <w:p w14:paraId="64ED5813" w14:textId="6CDD4A38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6</w:t>
            </w:r>
            <w:r w:rsidR="00EC7CC6">
              <w:t>0.9</w:t>
            </w:r>
            <w:r>
              <w:t>% - 7</w:t>
            </w:r>
            <w:r w:rsidR="00EC7CC6">
              <w:t>0</w:t>
            </w:r>
            <w:r>
              <w:t>.</w:t>
            </w:r>
            <w:r w:rsidR="00EC7CC6">
              <w:t>8</w:t>
            </w:r>
            <w:r>
              <w:t>%</w:t>
            </w:r>
          </w:p>
        </w:tc>
        <w:tc>
          <w:tcPr>
            <w:tcW w:w="1620" w:type="dxa"/>
            <w:vAlign w:val="bottom"/>
          </w:tcPr>
          <w:p w14:paraId="0058ACC5" w14:textId="77777777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3</w:t>
            </w:r>
          </w:p>
        </w:tc>
      </w:tr>
      <w:tr w:rsidR="0002273E" w14:paraId="5148C3F2" w14:textId="77777777" w:rsidTr="46A11F26">
        <w:tc>
          <w:tcPr>
            <w:tcW w:w="2245" w:type="dxa"/>
            <w:vAlign w:val="bottom"/>
          </w:tcPr>
          <w:p w14:paraId="4CB00D1A" w14:textId="2DCD4DD9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5</w:t>
            </w:r>
            <w:r w:rsidR="00EC7CC6">
              <w:t>0.9</w:t>
            </w:r>
            <w:r>
              <w:t>% - 6</w:t>
            </w:r>
            <w:r w:rsidR="00EC7CC6">
              <w:t>0.8</w:t>
            </w:r>
            <w:r>
              <w:t>%</w:t>
            </w:r>
          </w:p>
        </w:tc>
        <w:tc>
          <w:tcPr>
            <w:tcW w:w="1620" w:type="dxa"/>
            <w:vAlign w:val="bottom"/>
          </w:tcPr>
          <w:p w14:paraId="18F3852D" w14:textId="77777777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2</w:t>
            </w:r>
          </w:p>
        </w:tc>
      </w:tr>
      <w:tr w:rsidR="0002273E" w14:paraId="6E2F94C3" w14:textId="77777777" w:rsidTr="46A11F26">
        <w:tc>
          <w:tcPr>
            <w:tcW w:w="2245" w:type="dxa"/>
            <w:vAlign w:val="bottom"/>
          </w:tcPr>
          <w:p w14:paraId="6F920862" w14:textId="31416499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4</w:t>
            </w:r>
            <w:r w:rsidR="00EC7CC6">
              <w:t>0.9</w:t>
            </w:r>
            <w:r>
              <w:t>% - 5</w:t>
            </w:r>
            <w:r w:rsidR="00EC7CC6">
              <w:t>0.8</w:t>
            </w:r>
            <w:r>
              <w:t>%</w:t>
            </w:r>
          </w:p>
        </w:tc>
        <w:tc>
          <w:tcPr>
            <w:tcW w:w="1620" w:type="dxa"/>
            <w:vAlign w:val="bottom"/>
          </w:tcPr>
          <w:p w14:paraId="50587FE7" w14:textId="77777777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1</w:t>
            </w:r>
          </w:p>
        </w:tc>
      </w:tr>
      <w:tr w:rsidR="0002273E" w14:paraId="4C1580E9" w14:textId="77777777" w:rsidTr="46A11F26">
        <w:tc>
          <w:tcPr>
            <w:tcW w:w="2245" w:type="dxa"/>
            <w:vAlign w:val="bottom"/>
          </w:tcPr>
          <w:p w14:paraId="326AE07F" w14:textId="12C13A85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Below 4</w:t>
            </w:r>
            <w:r w:rsidR="00EC7CC6">
              <w:t>0.8</w:t>
            </w:r>
            <w:r>
              <w:t>%</w:t>
            </w:r>
          </w:p>
        </w:tc>
        <w:tc>
          <w:tcPr>
            <w:tcW w:w="1620" w:type="dxa"/>
            <w:vAlign w:val="bottom"/>
          </w:tcPr>
          <w:p w14:paraId="49333217" w14:textId="77777777" w:rsidR="0002273E" w:rsidRDefault="2D02A83D" w:rsidP="00E5654D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70179BE7" w14:textId="77777777" w:rsidR="00DA4FA3" w:rsidRDefault="404C060F" w:rsidP="00245532">
      <w:pPr>
        <w:pStyle w:val="Heading2"/>
        <w:spacing w:before="240"/>
      </w:pPr>
      <w:r w:rsidRPr="4940FEEE">
        <w:rPr>
          <w:b/>
          <w:bCs/>
        </w:rPr>
        <w:lastRenderedPageBreak/>
        <w:t>Indicator</w:t>
      </w:r>
      <w:r w:rsidR="0096002B">
        <w:t xml:space="preserve">: </w:t>
      </w:r>
      <w:r w:rsidR="00EC3C7C">
        <w:t>Candidate Rating of Placement Opportunities</w:t>
      </w:r>
    </w:p>
    <w:p w14:paraId="33AEC2C6" w14:textId="4F1FD16B" w:rsidR="00D600F6" w:rsidRDefault="0096002B" w:rsidP="00245532">
      <w:pPr>
        <w:spacing w:line="240" w:lineRule="auto"/>
      </w:pPr>
      <w:r w:rsidRPr="4940FEEE">
        <w:rPr>
          <w:b/>
          <w:bCs/>
        </w:rPr>
        <w:t>Data Source</w:t>
      </w:r>
      <w:r>
        <w:t xml:space="preserve">: </w:t>
      </w:r>
      <w:r w:rsidR="00EC3C7C">
        <w:t>Teacher Candidate Survey Results</w:t>
      </w:r>
      <w:r w:rsidR="00E461E0">
        <w:br/>
      </w:r>
      <w:r w:rsidRPr="4940FEEE">
        <w:rPr>
          <w:b/>
          <w:bCs/>
        </w:rPr>
        <w:t>Points</w:t>
      </w:r>
      <w:r>
        <w:t xml:space="preserve">: </w:t>
      </w:r>
      <w:r w:rsidR="00743865">
        <w:t>4</w:t>
      </w:r>
    </w:p>
    <w:p w14:paraId="5D40577B" w14:textId="5260099E" w:rsidR="00D600F6" w:rsidRDefault="000B349A" w:rsidP="00D9430A">
      <w:pPr>
        <w:spacing w:before="160" w:line="240" w:lineRule="auto"/>
      </w:pPr>
      <w:r w:rsidRPr="00A226ED">
        <w:rPr>
          <w:b/>
          <w:bCs/>
        </w:rPr>
        <w:t>Calculation</w:t>
      </w:r>
      <w:r>
        <w:t xml:space="preserve">:  Questions </w:t>
      </w:r>
      <w:r w:rsidR="00610544">
        <w:t xml:space="preserve">42 </w:t>
      </w:r>
      <w:r>
        <w:t xml:space="preserve">and </w:t>
      </w:r>
      <w:r w:rsidR="00610544">
        <w:t xml:space="preserve">43 </w:t>
      </w:r>
      <w:r>
        <w:t xml:space="preserve">on the Teacher Candidate Survey </w:t>
      </w:r>
      <w:r w:rsidR="0063398F">
        <w:t>(</w:t>
      </w:r>
      <w:r w:rsidR="008C4731">
        <w:t xml:space="preserve">see </w:t>
      </w:r>
      <w:r w:rsidR="00610544">
        <w:t>CSSS</w:t>
      </w:r>
      <w:r w:rsidR="0063398F">
        <w:t>)</w:t>
      </w:r>
      <w:r>
        <w:t xml:space="preserve"> ask students about their opportunities to be placed with and work with diverse student populations.  Overall efficacy for these two questions was calculated</w:t>
      </w:r>
      <w:r w:rsidR="00FD002D">
        <w:t xml:space="preserve"> for each EPI.</w:t>
      </w:r>
    </w:p>
    <w:p w14:paraId="355FF9B7" w14:textId="3B944DC6" w:rsidR="00650899" w:rsidRDefault="000B349A" w:rsidP="00D9430A">
      <w:pPr>
        <w:spacing w:before="160" w:line="240" w:lineRule="auto"/>
      </w:pPr>
      <w:r w:rsidRPr="00A226ED">
        <w:rPr>
          <w:b/>
          <w:bCs/>
        </w:rPr>
        <w:t>Points</w:t>
      </w:r>
      <w:r>
        <w:t>:  Points are assigned from the efficacy calculation based on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5"/>
        <w:gridCol w:w="1440"/>
      </w:tblGrid>
      <w:tr w:rsidR="00743865" w14:paraId="12F92F4C" w14:textId="77777777" w:rsidTr="00E5654D">
        <w:tc>
          <w:tcPr>
            <w:tcW w:w="2155" w:type="dxa"/>
            <w:shd w:val="clear" w:color="auto" w:fill="F4B083" w:themeFill="accent2" w:themeFillTint="99"/>
            <w:vAlign w:val="bottom"/>
          </w:tcPr>
          <w:p w14:paraId="7E14BAB9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Percentage Efficacy</w:t>
            </w:r>
          </w:p>
        </w:tc>
        <w:tc>
          <w:tcPr>
            <w:tcW w:w="1440" w:type="dxa"/>
            <w:shd w:val="clear" w:color="auto" w:fill="F4B083" w:themeFill="accent2" w:themeFillTint="99"/>
            <w:vAlign w:val="bottom"/>
          </w:tcPr>
          <w:p w14:paraId="7C4C377A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743865" w14:paraId="506F836D" w14:textId="77777777" w:rsidTr="00E5654D">
        <w:tc>
          <w:tcPr>
            <w:tcW w:w="2155" w:type="dxa"/>
            <w:vAlign w:val="bottom"/>
          </w:tcPr>
          <w:p w14:paraId="316883BF" w14:textId="2E5C2932" w:rsidR="00743865" w:rsidRDefault="00743865" w:rsidP="00E5654D">
            <w:pPr>
              <w:tabs>
                <w:tab w:val="left" w:pos="1520"/>
              </w:tabs>
              <w:jc w:val="center"/>
            </w:pPr>
            <w:r>
              <w:t xml:space="preserve">90% – </w:t>
            </w:r>
            <w:r w:rsidR="00610544">
              <w:t>100</w:t>
            </w:r>
            <w:r>
              <w:t>%</w:t>
            </w:r>
          </w:p>
        </w:tc>
        <w:tc>
          <w:tcPr>
            <w:tcW w:w="1440" w:type="dxa"/>
            <w:vAlign w:val="bottom"/>
          </w:tcPr>
          <w:p w14:paraId="11930690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4</w:t>
            </w:r>
          </w:p>
        </w:tc>
      </w:tr>
      <w:tr w:rsidR="00743865" w14:paraId="621F5D72" w14:textId="77777777" w:rsidTr="00E5654D">
        <w:tc>
          <w:tcPr>
            <w:tcW w:w="2155" w:type="dxa"/>
            <w:vAlign w:val="bottom"/>
          </w:tcPr>
          <w:p w14:paraId="6111C084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85% – 89%</w:t>
            </w:r>
          </w:p>
        </w:tc>
        <w:tc>
          <w:tcPr>
            <w:tcW w:w="1440" w:type="dxa"/>
            <w:vAlign w:val="bottom"/>
          </w:tcPr>
          <w:p w14:paraId="01137295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3</w:t>
            </w:r>
          </w:p>
        </w:tc>
      </w:tr>
      <w:tr w:rsidR="00743865" w14:paraId="42D4114C" w14:textId="77777777" w:rsidTr="00E5654D">
        <w:tc>
          <w:tcPr>
            <w:tcW w:w="2155" w:type="dxa"/>
            <w:vAlign w:val="bottom"/>
          </w:tcPr>
          <w:p w14:paraId="6850DBC5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80% – 84%</w:t>
            </w:r>
          </w:p>
        </w:tc>
        <w:tc>
          <w:tcPr>
            <w:tcW w:w="1440" w:type="dxa"/>
            <w:vAlign w:val="bottom"/>
          </w:tcPr>
          <w:p w14:paraId="010BF574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2</w:t>
            </w:r>
          </w:p>
        </w:tc>
      </w:tr>
      <w:tr w:rsidR="00743865" w14:paraId="79C4AA80" w14:textId="77777777" w:rsidTr="00E5654D">
        <w:tc>
          <w:tcPr>
            <w:tcW w:w="2155" w:type="dxa"/>
            <w:vAlign w:val="bottom"/>
          </w:tcPr>
          <w:p w14:paraId="5CA86641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75% – 79%</w:t>
            </w:r>
          </w:p>
        </w:tc>
        <w:tc>
          <w:tcPr>
            <w:tcW w:w="1440" w:type="dxa"/>
            <w:vAlign w:val="bottom"/>
          </w:tcPr>
          <w:p w14:paraId="4367A228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1</w:t>
            </w:r>
          </w:p>
        </w:tc>
      </w:tr>
      <w:tr w:rsidR="00743865" w14:paraId="0061EA0A" w14:textId="77777777" w:rsidTr="00E5654D">
        <w:tc>
          <w:tcPr>
            <w:tcW w:w="2155" w:type="dxa"/>
            <w:vAlign w:val="bottom"/>
          </w:tcPr>
          <w:p w14:paraId="08CDE5C4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70% – 74%</w:t>
            </w:r>
          </w:p>
        </w:tc>
        <w:tc>
          <w:tcPr>
            <w:tcW w:w="1440" w:type="dxa"/>
            <w:vAlign w:val="bottom"/>
          </w:tcPr>
          <w:p w14:paraId="5DF44E04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1</w:t>
            </w:r>
          </w:p>
        </w:tc>
      </w:tr>
      <w:tr w:rsidR="00743865" w14:paraId="4B6EB90F" w14:textId="77777777" w:rsidTr="00E5654D">
        <w:tc>
          <w:tcPr>
            <w:tcW w:w="2155" w:type="dxa"/>
            <w:vAlign w:val="bottom"/>
          </w:tcPr>
          <w:p w14:paraId="475C3B67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Below 70%</w:t>
            </w:r>
          </w:p>
        </w:tc>
        <w:tc>
          <w:tcPr>
            <w:tcW w:w="1440" w:type="dxa"/>
            <w:vAlign w:val="bottom"/>
          </w:tcPr>
          <w:p w14:paraId="385FB9FC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141BFF9C" w14:textId="77777777" w:rsidR="00C50C85" w:rsidRDefault="00C50C85" w:rsidP="002C4CC0">
      <w:pPr>
        <w:rPr>
          <w:rStyle w:val="Heading2Char"/>
          <w:b/>
        </w:rPr>
      </w:pPr>
    </w:p>
    <w:p w14:paraId="1DF6CF58" w14:textId="0E5954EF" w:rsidR="00490D21" w:rsidRDefault="151EA68C" w:rsidP="009D537F">
      <w:pPr>
        <w:pStyle w:val="Heading2"/>
        <w:rPr>
          <w:rStyle w:val="Heading2Char"/>
        </w:rPr>
      </w:pPr>
      <w:r w:rsidRPr="00FE54A0">
        <w:rPr>
          <w:rStyle w:val="Heading2Char"/>
          <w:b/>
        </w:rPr>
        <w:t>Indicator</w:t>
      </w:r>
      <w:r w:rsidR="0096002B" w:rsidRPr="00FE54A0">
        <w:rPr>
          <w:rStyle w:val="Heading2Char"/>
          <w:b/>
        </w:rPr>
        <w:t>:</w:t>
      </w:r>
      <w:r w:rsidR="0096002B" w:rsidRPr="00245532">
        <w:rPr>
          <w:rStyle w:val="Heading2Char"/>
        </w:rPr>
        <w:t xml:space="preserve"> </w:t>
      </w:r>
      <w:r w:rsidR="00EC3C7C" w:rsidRPr="00245532">
        <w:rPr>
          <w:rStyle w:val="Heading2Char"/>
        </w:rPr>
        <w:t>Survey Participation</w:t>
      </w:r>
    </w:p>
    <w:p w14:paraId="5B39CC3F" w14:textId="5589AE76" w:rsidR="00650899" w:rsidRDefault="0096002B" w:rsidP="009D537F">
      <w:pPr>
        <w:spacing w:line="240" w:lineRule="auto"/>
      </w:pPr>
      <w:r w:rsidRPr="4940FEEE">
        <w:rPr>
          <w:b/>
          <w:bCs/>
        </w:rPr>
        <w:t>Data Source:</w:t>
      </w:r>
      <w:r>
        <w:t xml:space="preserve"> Combined </w:t>
      </w:r>
      <w:r w:rsidR="00EC3C7C">
        <w:t xml:space="preserve">Teacher Candidate, </w:t>
      </w:r>
      <w:r>
        <w:t>Candidate Supervisor</w:t>
      </w:r>
      <w:r w:rsidR="00EC3C7C">
        <w:t>,</w:t>
      </w:r>
      <w:r>
        <w:t xml:space="preserve"> and Cooperating Teacher Survey Res</w:t>
      </w:r>
      <w:r w:rsidR="00EC3C7C">
        <w:t>ponse Rates</w:t>
      </w:r>
      <w:r>
        <w:br/>
      </w:r>
      <w:r w:rsidRPr="4940FEEE">
        <w:rPr>
          <w:b/>
          <w:bCs/>
        </w:rPr>
        <w:t>Points</w:t>
      </w:r>
      <w:r>
        <w:t xml:space="preserve">: </w:t>
      </w:r>
      <w:r w:rsidR="00EC3C7C">
        <w:t>6</w:t>
      </w:r>
    </w:p>
    <w:p w14:paraId="1BC23953" w14:textId="49643DB1" w:rsidR="0096002B" w:rsidRDefault="000B349A" w:rsidP="00D9430A">
      <w:pPr>
        <w:spacing w:before="160" w:line="240" w:lineRule="auto"/>
      </w:pPr>
      <w:r w:rsidRPr="4940FEEE">
        <w:rPr>
          <w:b/>
          <w:bCs/>
        </w:rPr>
        <w:t>Calculation</w:t>
      </w:r>
      <w:r w:rsidR="00FD002D" w:rsidRPr="4940FEEE">
        <w:rPr>
          <w:b/>
          <w:bCs/>
        </w:rPr>
        <w:t xml:space="preserve"> and points</w:t>
      </w:r>
      <w:r>
        <w:t xml:space="preserve">:  Response rate targets exist for all surveys.  </w:t>
      </w:r>
      <w:r w:rsidR="002C7E35">
        <w:t xml:space="preserve">Respondents needed to complete the entire survey for the attempt to count as an official response.  </w:t>
      </w:r>
      <w:r>
        <w:t xml:space="preserve">For the Teacher Candidate and Candidate Supervisor surveys, this target is 80%.  For the Cooperating teacher survey, this target is 60%.  </w:t>
      </w:r>
      <w:r w:rsidR="009F463A">
        <w:t>For each survey in which the EPI met or exceeded the response rate, they were awarded 2 points.  If the EPI’s response rate was within 20% of the target (60%-79% for TC and CS, 40%-59% for CT), they were awarded 1 point</w:t>
      </w:r>
      <w:r w:rsidR="00FD002D">
        <w:t xml:space="preserve"> for that survey</w:t>
      </w:r>
      <w:r w:rsidR="009F463A">
        <w:t>.</w:t>
      </w:r>
      <w:r w:rsidR="00FD002D">
        <w:t xml:space="preserve"> </w:t>
      </w:r>
      <w:r w:rsidR="00817D94">
        <w:t>Any response rate below this value was awarded no points.  For each survey, the EPI received 2, 1</w:t>
      </w:r>
      <w:r w:rsidR="00E3704F">
        <w:t>,</w:t>
      </w:r>
      <w:r w:rsidR="00817D94">
        <w:t xml:space="preserve"> or 0 points</w:t>
      </w:r>
      <w:r w:rsidR="00AE270E">
        <w:t>, for a total of 6 possible points.</w:t>
      </w:r>
    </w:p>
    <w:p w14:paraId="0C82EF04" w14:textId="77777777" w:rsidR="00C50C85" w:rsidRDefault="00C50C85" w:rsidP="002C4CC0">
      <w:pPr>
        <w:rPr>
          <w:rStyle w:val="Heading2Char"/>
          <w:b/>
        </w:rPr>
      </w:pPr>
    </w:p>
    <w:p w14:paraId="576C0BB2" w14:textId="1129D2A6" w:rsidR="00664304" w:rsidRDefault="3CD3E048" w:rsidP="00490D21">
      <w:pPr>
        <w:pStyle w:val="Heading2"/>
        <w:rPr>
          <w:rStyle w:val="Heading2Char"/>
        </w:rPr>
      </w:pPr>
      <w:r w:rsidRPr="00FE54A0">
        <w:rPr>
          <w:rStyle w:val="Heading2Char"/>
          <w:b/>
        </w:rPr>
        <w:t>Indicator</w:t>
      </w:r>
      <w:r w:rsidR="001867AF" w:rsidRPr="00FE54A0">
        <w:rPr>
          <w:rStyle w:val="Heading2Char"/>
          <w:b/>
        </w:rPr>
        <w:t>:</w:t>
      </w:r>
      <w:r w:rsidR="0096002B" w:rsidRPr="00245532">
        <w:rPr>
          <w:rStyle w:val="Heading2Char"/>
        </w:rPr>
        <w:t xml:space="preserve"> </w:t>
      </w:r>
      <w:r w:rsidR="00EC3C7C" w:rsidRPr="00245532">
        <w:rPr>
          <w:rStyle w:val="Heading2Char"/>
        </w:rPr>
        <w:t>Program Partnership Strength</w:t>
      </w:r>
    </w:p>
    <w:p w14:paraId="7E7AFAC2" w14:textId="77777777" w:rsidR="00664304" w:rsidRDefault="0096002B" w:rsidP="009D537F">
      <w:pPr>
        <w:spacing w:after="0" w:line="240" w:lineRule="auto"/>
      </w:pPr>
      <w:r w:rsidRPr="4940FEEE">
        <w:rPr>
          <w:b/>
          <w:bCs/>
        </w:rPr>
        <w:t>Data Source</w:t>
      </w:r>
      <w:r>
        <w:t>:</w:t>
      </w:r>
      <w:r w:rsidR="00EC3C7C">
        <w:t xml:space="preserve"> Candidate Supervisor and Cooperating Teacher Survey Results</w:t>
      </w:r>
    </w:p>
    <w:p w14:paraId="3A3C93EB" w14:textId="4EE054F0" w:rsidR="00D600F6" w:rsidRDefault="0096002B" w:rsidP="009D537F">
      <w:pPr>
        <w:spacing w:line="240" w:lineRule="auto"/>
      </w:pPr>
      <w:r w:rsidRPr="4940FEEE">
        <w:rPr>
          <w:b/>
          <w:bCs/>
        </w:rPr>
        <w:t>Points</w:t>
      </w:r>
      <w:r>
        <w:t xml:space="preserve">: </w:t>
      </w:r>
      <w:r w:rsidR="00743865">
        <w:t>6</w:t>
      </w:r>
    </w:p>
    <w:p w14:paraId="41E510AB" w14:textId="5558DD55" w:rsidR="00315853" w:rsidRDefault="009F463A" w:rsidP="00621F6A">
      <w:pPr>
        <w:spacing w:before="160" w:line="240" w:lineRule="auto"/>
      </w:pPr>
      <w:r w:rsidRPr="00A226ED">
        <w:rPr>
          <w:b/>
          <w:bCs/>
        </w:rPr>
        <w:t>Calculation</w:t>
      </w:r>
      <w:r>
        <w:t xml:space="preserve">:  Efficacy for questions </w:t>
      </w:r>
      <w:r w:rsidR="00610544">
        <w:t xml:space="preserve">44 </w:t>
      </w:r>
      <w:r>
        <w:t xml:space="preserve">through </w:t>
      </w:r>
      <w:r w:rsidR="00610544">
        <w:t>50 (</w:t>
      </w:r>
      <w:r>
        <w:t>Candidate Supervisor and Cooperating Teacher survey</w:t>
      </w:r>
      <w:r w:rsidR="00610544">
        <w:t>s only)</w:t>
      </w:r>
      <w:r w:rsidR="60D68B4B">
        <w:t xml:space="preserve"> </w:t>
      </w:r>
      <w:r>
        <w:t xml:space="preserve">assess the strength of the relationship between the EPI and the P-12 partner.  Efficacy for these questions was calculated </w:t>
      </w:r>
      <w:r w:rsidR="00AE270E">
        <w:t xml:space="preserve">for each group.  The </w:t>
      </w:r>
      <w:r>
        <w:t xml:space="preserve">average of the </w:t>
      </w:r>
      <w:r w:rsidR="00AE270E">
        <w:t xml:space="preserve">two efficacies </w:t>
      </w:r>
      <w:r>
        <w:t>is used to determine points</w:t>
      </w:r>
      <w:r w:rsidR="00AE270E"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5"/>
        <w:gridCol w:w="1620"/>
      </w:tblGrid>
      <w:tr w:rsidR="00743865" w14:paraId="33CB2521" w14:textId="77777777" w:rsidTr="00E5654D">
        <w:tc>
          <w:tcPr>
            <w:tcW w:w="2245" w:type="dxa"/>
            <w:shd w:val="clear" w:color="auto" w:fill="F4B083" w:themeFill="accent2" w:themeFillTint="99"/>
            <w:vAlign w:val="bottom"/>
          </w:tcPr>
          <w:p w14:paraId="683C0157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Percentage Efficacy</w:t>
            </w:r>
          </w:p>
        </w:tc>
        <w:tc>
          <w:tcPr>
            <w:tcW w:w="1620" w:type="dxa"/>
            <w:shd w:val="clear" w:color="auto" w:fill="F4B083" w:themeFill="accent2" w:themeFillTint="99"/>
            <w:vAlign w:val="bottom"/>
          </w:tcPr>
          <w:p w14:paraId="610C66A8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Points</w:t>
            </w:r>
          </w:p>
        </w:tc>
      </w:tr>
      <w:tr w:rsidR="00743865" w14:paraId="1C0F238B" w14:textId="77777777" w:rsidTr="00E5654D">
        <w:tc>
          <w:tcPr>
            <w:tcW w:w="2245" w:type="dxa"/>
            <w:vAlign w:val="bottom"/>
          </w:tcPr>
          <w:p w14:paraId="303CA0D4" w14:textId="732D39CA" w:rsidR="00743865" w:rsidRDefault="00743865" w:rsidP="00E5654D">
            <w:pPr>
              <w:tabs>
                <w:tab w:val="left" w:pos="1520"/>
              </w:tabs>
              <w:jc w:val="center"/>
            </w:pPr>
            <w:r>
              <w:t xml:space="preserve">90% – </w:t>
            </w:r>
            <w:r w:rsidR="00F42C9B">
              <w:t>100</w:t>
            </w:r>
            <w:r>
              <w:t>%</w:t>
            </w:r>
          </w:p>
        </w:tc>
        <w:tc>
          <w:tcPr>
            <w:tcW w:w="1620" w:type="dxa"/>
            <w:vAlign w:val="bottom"/>
          </w:tcPr>
          <w:p w14:paraId="20F2C227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6</w:t>
            </w:r>
          </w:p>
        </w:tc>
      </w:tr>
      <w:tr w:rsidR="00743865" w14:paraId="25D140BB" w14:textId="77777777" w:rsidTr="00E5654D">
        <w:tc>
          <w:tcPr>
            <w:tcW w:w="2245" w:type="dxa"/>
            <w:vAlign w:val="bottom"/>
          </w:tcPr>
          <w:p w14:paraId="0BD34904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85% – 89%</w:t>
            </w:r>
          </w:p>
        </w:tc>
        <w:tc>
          <w:tcPr>
            <w:tcW w:w="1620" w:type="dxa"/>
            <w:vAlign w:val="bottom"/>
          </w:tcPr>
          <w:p w14:paraId="43A4D6CD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5</w:t>
            </w:r>
          </w:p>
        </w:tc>
      </w:tr>
      <w:tr w:rsidR="00743865" w14:paraId="5DF122FC" w14:textId="77777777" w:rsidTr="00E5654D">
        <w:tc>
          <w:tcPr>
            <w:tcW w:w="2245" w:type="dxa"/>
            <w:vAlign w:val="bottom"/>
          </w:tcPr>
          <w:p w14:paraId="67ACF9A2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80% – 84%</w:t>
            </w:r>
          </w:p>
        </w:tc>
        <w:tc>
          <w:tcPr>
            <w:tcW w:w="1620" w:type="dxa"/>
            <w:vAlign w:val="bottom"/>
          </w:tcPr>
          <w:p w14:paraId="71F1A26D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4</w:t>
            </w:r>
          </w:p>
        </w:tc>
      </w:tr>
      <w:tr w:rsidR="00743865" w14:paraId="6738BFEE" w14:textId="77777777" w:rsidTr="00E5654D">
        <w:tc>
          <w:tcPr>
            <w:tcW w:w="2245" w:type="dxa"/>
            <w:vAlign w:val="bottom"/>
          </w:tcPr>
          <w:p w14:paraId="06D81343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75% – 79%</w:t>
            </w:r>
          </w:p>
        </w:tc>
        <w:tc>
          <w:tcPr>
            <w:tcW w:w="1620" w:type="dxa"/>
            <w:vAlign w:val="bottom"/>
          </w:tcPr>
          <w:p w14:paraId="2A67B287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3</w:t>
            </w:r>
          </w:p>
        </w:tc>
      </w:tr>
      <w:tr w:rsidR="00743865" w14:paraId="49DBE8DA" w14:textId="77777777" w:rsidTr="00E5654D">
        <w:tc>
          <w:tcPr>
            <w:tcW w:w="2245" w:type="dxa"/>
            <w:vAlign w:val="bottom"/>
          </w:tcPr>
          <w:p w14:paraId="0727F3F7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70% – 74%</w:t>
            </w:r>
          </w:p>
        </w:tc>
        <w:tc>
          <w:tcPr>
            <w:tcW w:w="1620" w:type="dxa"/>
            <w:vAlign w:val="bottom"/>
          </w:tcPr>
          <w:p w14:paraId="22C710CA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2</w:t>
            </w:r>
          </w:p>
        </w:tc>
      </w:tr>
      <w:tr w:rsidR="00743865" w14:paraId="5A01CE7A" w14:textId="77777777" w:rsidTr="00E5654D">
        <w:tc>
          <w:tcPr>
            <w:tcW w:w="2245" w:type="dxa"/>
            <w:vAlign w:val="bottom"/>
          </w:tcPr>
          <w:p w14:paraId="1480DA60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Below 70%</w:t>
            </w:r>
          </w:p>
        </w:tc>
        <w:tc>
          <w:tcPr>
            <w:tcW w:w="1620" w:type="dxa"/>
            <w:vAlign w:val="bottom"/>
          </w:tcPr>
          <w:p w14:paraId="2E464CEC" w14:textId="77777777" w:rsidR="00743865" w:rsidRDefault="00743865" w:rsidP="00E5654D">
            <w:pPr>
              <w:tabs>
                <w:tab w:val="left" w:pos="1520"/>
              </w:tabs>
              <w:jc w:val="center"/>
            </w:pPr>
            <w:r>
              <w:t>0</w:t>
            </w:r>
          </w:p>
        </w:tc>
      </w:tr>
    </w:tbl>
    <w:p w14:paraId="125B08DF" w14:textId="77777777" w:rsidR="00743865" w:rsidRDefault="00743865" w:rsidP="00743865">
      <w:pPr>
        <w:rPr>
          <w:rStyle w:val="Heading2Char"/>
        </w:rPr>
      </w:pPr>
      <w:r>
        <w:rPr>
          <w:rStyle w:val="Heading2Char"/>
        </w:rPr>
        <w:br w:type="page"/>
      </w:r>
    </w:p>
    <w:p w14:paraId="3E7F1C2E" w14:textId="6ACF4575" w:rsidR="00CF4338" w:rsidRDefault="00315853" w:rsidP="00B31BDE">
      <w:pPr>
        <w:pStyle w:val="Heading1"/>
      </w:pPr>
      <w:r w:rsidRPr="00B31BDE">
        <w:lastRenderedPageBreak/>
        <w:t>S</w:t>
      </w:r>
      <w:r w:rsidR="00D600F6" w:rsidRPr="00B31BDE">
        <w:t xml:space="preserve">coring </w:t>
      </w:r>
      <w:r w:rsidR="004320E1" w:rsidRPr="00B31BDE">
        <w:t>d</w:t>
      </w:r>
      <w:r w:rsidR="00D600F6" w:rsidRPr="00B31BDE">
        <w:t>imensions under development:</w:t>
      </w:r>
    </w:p>
    <w:p w14:paraId="2CA88939" w14:textId="77777777" w:rsidR="00D24929" w:rsidRPr="00D24929" w:rsidRDefault="00D24929" w:rsidP="00D24929"/>
    <w:p w14:paraId="7198FAC4" w14:textId="54B773CD" w:rsidR="00D600F6" w:rsidRDefault="00530C66" w:rsidP="00315853">
      <w:pPr>
        <w:pStyle w:val="Heading2"/>
      </w:pPr>
      <w:r>
        <w:rPr>
          <w:b/>
          <w:bCs/>
        </w:rPr>
        <w:t xml:space="preserve">Category: </w:t>
      </w:r>
      <w:r w:rsidR="00D600F6">
        <w:t>Candidate Selection and Completion</w:t>
      </w:r>
    </w:p>
    <w:p w14:paraId="4FABCF41" w14:textId="00BFD087" w:rsidR="00455FF0" w:rsidRDefault="001867AF" w:rsidP="00D600F6">
      <w:pPr>
        <w:spacing w:after="0" w:line="240" w:lineRule="auto"/>
      </w:pPr>
      <w:r w:rsidRPr="00530C66">
        <w:rPr>
          <w:b/>
          <w:bCs/>
        </w:rPr>
        <w:t>Indicator</w:t>
      </w:r>
      <w:r w:rsidR="00455FF0" w:rsidRPr="00530C66">
        <w:rPr>
          <w:b/>
          <w:bCs/>
        </w:rPr>
        <w:t>:</w:t>
      </w:r>
      <w:r w:rsidR="00455FF0">
        <w:t xml:space="preserve"> Candidate/Completer Diversity</w:t>
      </w:r>
    </w:p>
    <w:p w14:paraId="0D3ACA9B" w14:textId="6B686294" w:rsidR="00455FF0" w:rsidRDefault="00455FF0" w:rsidP="00D600F6">
      <w:pPr>
        <w:spacing w:after="0" w:line="240" w:lineRule="auto"/>
      </w:pPr>
      <w:r w:rsidRPr="00530C66">
        <w:rPr>
          <w:b/>
          <w:bCs/>
        </w:rPr>
        <w:t>Data Source:</w:t>
      </w:r>
      <w:r>
        <w:t xml:space="preserve"> </w:t>
      </w:r>
      <w:r w:rsidR="005549BF">
        <w:t>Reporting by providers (mechanism to be determined)</w:t>
      </w:r>
    </w:p>
    <w:p w14:paraId="237B558E" w14:textId="77777777" w:rsidR="00455FF0" w:rsidRDefault="00455FF0" w:rsidP="00D600F6">
      <w:pPr>
        <w:spacing w:after="0" w:line="240" w:lineRule="auto"/>
      </w:pPr>
      <w:r w:rsidRPr="00530C66">
        <w:rPr>
          <w:b/>
          <w:bCs/>
        </w:rPr>
        <w:t>Points:</w:t>
      </w:r>
      <w:r>
        <w:t xml:space="preserve"> 5</w:t>
      </w:r>
    </w:p>
    <w:p w14:paraId="7B077A60" w14:textId="5D57E166" w:rsidR="00D600F6" w:rsidRDefault="00455FF0" w:rsidP="00D600F6">
      <w:pPr>
        <w:spacing w:before="160" w:line="240" w:lineRule="auto"/>
      </w:pPr>
      <w:r w:rsidRPr="00530C66">
        <w:rPr>
          <w:b/>
          <w:bCs/>
        </w:rPr>
        <w:t>Calculation:</w:t>
      </w:r>
      <w:r>
        <w:t xml:space="preserve"> TB</w:t>
      </w:r>
      <w:r w:rsidR="00D600F6">
        <w:t>D</w:t>
      </w:r>
    </w:p>
    <w:p w14:paraId="0F6EEE95" w14:textId="77777777" w:rsidR="00530C66" w:rsidRDefault="00530C66" w:rsidP="00D600F6">
      <w:pPr>
        <w:spacing w:before="160" w:line="240" w:lineRule="auto"/>
      </w:pPr>
    </w:p>
    <w:p w14:paraId="6BE4BDD6" w14:textId="2A243BFF" w:rsidR="001867AF" w:rsidRDefault="00530C66" w:rsidP="001867AF">
      <w:pPr>
        <w:pStyle w:val="Heading2"/>
      </w:pPr>
      <w:r>
        <w:t xml:space="preserve">Category: </w:t>
      </w:r>
      <w:r w:rsidR="001867AF" w:rsidRPr="4940FEEE">
        <w:t>Knowledge and Skills for Teaching</w:t>
      </w:r>
    </w:p>
    <w:p w14:paraId="63EC98B9" w14:textId="7134FB57" w:rsidR="001867AF" w:rsidRDefault="001867AF" w:rsidP="001867AF">
      <w:pPr>
        <w:spacing w:after="0" w:line="240" w:lineRule="auto"/>
      </w:pPr>
      <w:r w:rsidRPr="00530C66">
        <w:rPr>
          <w:b/>
          <w:bCs/>
        </w:rPr>
        <w:t>Indicator:</w:t>
      </w:r>
      <w:r>
        <w:t xml:space="preserve"> Candidate Teaching Skill </w:t>
      </w:r>
      <w:r w:rsidR="006C0669">
        <w:t>II</w:t>
      </w:r>
    </w:p>
    <w:p w14:paraId="6816E6B4" w14:textId="66F03B15" w:rsidR="001867AF" w:rsidRDefault="001867AF" w:rsidP="001867AF">
      <w:pPr>
        <w:spacing w:after="0" w:line="240" w:lineRule="auto"/>
      </w:pPr>
      <w:r w:rsidRPr="00530C66">
        <w:rPr>
          <w:b/>
          <w:bCs/>
        </w:rPr>
        <w:t>Data Source:</w:t>
      </w:r>
      <w:r>
        <w:t xml:space="preserve"> </w:t>
      </w:r>
      <w:r w:rsidR="00961685">
        <w:t>Statewide Clinical Observation Tool</w:t>
      </w:r>
      <w:r>
        <w:t xml:space="preserve"> (</w:t>
      </w:r>
      <w:r w:rsidR="00961685">
        <w:t>to be developed</w:t>
      </w:r>
      <w:r>
        <w:t>)</w:t>
      </w:r>
    </w:p>
    <w:p w14:paraId="519D79BB" w14:textId="26FAFAC0" w:rsidR="001867AF" w:rsidRDefault="001867AF" w:rsidP="001867AF">
      <w:pPr>
        <w:spacing w:after="0" w:line="240" w:lineRule="auto"/>
      </w:pPr>
      <w:r w:rsidRPr="00530C66">
        <w:rPr>
          <w:b/>
          <w:bCs/>
        </w:rPr>
        <w:t>Points:</w:t>
      </w:r>
      <w:r>
        <w:t xml:space="preserve"> </w:t>
      </w:r>
      <w:r w:rsidR="00961685">
        <w:t>TBD</w:t>
      </w:r>
    </w:p>
    <w:p w14:paraId="19442BF2" w14:textId="6C747AA9" w:rsidR="198CC702" w:rsidRDefault="198CC702" w:rsidP="10CC083F">
      <w:pPr>
        <w:spacing w:before="160" w:line="240" w:lineRule="auto"/>
      </w:pPr>
      <w:r w:rsidRPr="00530C66">
        <w:rPr>
          <w:b/>
          <w:bCs/>
        </w:rPr>
        <w:t>Calculation:</w:t>
      </w:r>
      <w:r>
        <w:t xml:space="preserve"> TBD</w:t>
      </w:r>
    </w:p>
    <w:p w14:paraId="64E65A26" w14:textId="0F3D28AC" w:rsidR="10CC083F" w:rsidRDefault="10CC083F"/>
    <w:p w14:paraId="72754723" w14:textId="2A473660" w:rsidR="10CC083F" w:rsidRDefault="10CC083F"/>
    <w:p w14:paraId="7B200F0F" w14:textId="2156EB46" w:rsidR="10CC083F" w:rsidRDefault="10CC083F"/>
    <w:p w14:paraId="314C5945" w14:textId="0C02EA6B" w:rsidR="10CC083F" w:rsidRDefault="10CC083F"/>
    <w:p w14:paraId="1A8E8FB0" w14:textId="54050A36" w:rsidR="10CC083F" w:rsidRDefault="10CC083F"/>
    <w:p w14:paraId="5BF9875E" w14:textId="018CBADB" w:rsidR="10CC083F" w:rsidRDefault="10CC083F"/>
    <w:p w14:paraId="245FF5F2" w14:textId="72AFD8FC" w:rsidR="10CC083F" w:rsidRDefault="10CC083F"/>
    <w:p w14:paraId="5F242BDD" w14:textId="09B3B8D8" w:rsidR="009801C8" w:rsidRDefault="009801C8"/>
    <w:p w14:paraId="4EC6FE1A" w14:textId="430EF7CC" w:rsidR="009801C8" w:rsidRDefault="009801C8"/>
    <w:p w14:paraId="30452A79" w14:textId="687B23DE" w:rsidR="009801C8" w:rsidRDefault="009801C8"/>
    <w:p w14:paraId="571BF987" w14:textId="67408FE0" w:rsidR="009801C8" w:rsidRDefault="009801C8"/>
    <w:p w14:paraId="32DC6A6E" w14:textId="4CEBC092" w:rsidR="009801C8" w:rsidRDefault="009801C8"/>
    <w:p w14:paraId="0B478D3D" w14:textId="53021BB9" w:rsidR="009801C8" w:rsidRDefault="009801C8"/>
    <w:p w14:paraId="12EE7BC0" w14:textId="620E2BAC" w:rsidR="009801C8" w:rsidRDefault="009801C8"/>
    <w:p w14:paraId="54AE44CB" w14:textId="3C91FB62" w:rsidR="009801C8" w:rsidRDefault="009801C8"/>
    <w:p w14:paraId="4765BE0F" w14:textId="25392F06" w:rsidR="009801C8" w:rsidRDefault="009801C8"/>
    <w:p w14:paraId="1DCDD066" w14:textId="63785E95" w:rsidR="009801C8" w:rsidRDefault="009801C8"/>
    <w:p w14:paraId="1BD1625B" w14:textId="77777777" w:rsidR="000F647F" w:rsidRDefault="000F647F"/>
    <w:p w14:paraId="638BF335" w14:textId="46395B7A" w:rsidR="00CF2251" w:rsidRPr="003A2C9E" w:rsidRDefault="548F4110" w:rsidP="00F639C4">
      <w:pPr>
        <w:pStyle w:val="Heading1"/>
      </w:pPr>
      <w:bookmarkStart w:id="0" w:name="_2018-21_MTTC_Subject"/>
      <w:bookmarkEnd w:id="0"/>
      <w:r>
        <w:lastRenderedPageBreak/>
        <w:t>20</w:t>
      </w:r>
      <w:r w:rsidR="7DAC8C46">
        <w:t>1</w:t>
      </w:r>
      <w:r w:rsidR="009801C8">
        <w:t>9</w:t>
      </w:r>
      <w:r w:rsidR="7DAC8C46">
        <w:t>-2</w:t>
      </w:r>
      <w:r w:rsidR="009801C8">
        <w:t>2</w:t>
      </w:r>
      <w:r w:rsidR="7DAC8C46">
        <w:t xml:space="preserve"> </w:t>
      </w:r>
      <w:r w:rsidR="79835842">
        <w:t xml:space="preserve">MTTC </w:t>
      </w:r>
      <w:r w:rsidR="7DAC8C46">
        <w:t xml:space="preserve">Subject </w:t>
      </w:r>
      <w:r w:rsidR="79835842">
        <w:t xml:space="preserve">Area </w:t>
      </w:r>
      <w:r w:rsidR="7DAC8C46">
        <w:t>Classification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6"/>
        <w:gridCol w:w="1482"/>
        <w:gridCol w:w="4517"/>
      </w:tblGrid>
      <w:tr w:rsidR="00974DDF" w:rsidRPr="00BC20D7" w14:paraId="13AB6E22" w14:textId="77777777" w:rsidTr="00D7456A">
        <w:trPr>
          <w:trHeight w:val="290"/>
        </w:trPr>
        <w:tc>
          <w:tcPr>
            <w:tcW w:w="3176" w:type="dxa"/>
            <w:shd w:val="clear" w:color="auto" w:fill="B4C6E7" w:themeFill="accent1" w:themeFillTint="66"/>
            <w:noWrap/>
          </w:tcPr>
          <w:p w14:paraId="1550AD09" w14:textId="77777777" w:rsidR="00974DDF" w:rsidRPr="00D34629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10CC08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Test</w:t>
            </w:r>
          </w:p>
        </w:tc>
        <w:tc>
          <w:tcPr>
            <w:tcW w:w="1482" w:type="dxa"/>
            <w:shd w:val="clear" w:color="auto" w:fill="B4C6E7" w:themeFill="accent1" w:themeFillTint="66"/>
            <w:noWrap/>
          </w:tcPr>
          <w:p w14:paraId="530AF6AE" w14:textId="77777777" w:rsidR="00974DDF" w:rsidRPr="00D34629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10CC08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Subject Area</w:t>
            </w:r>
          </w:p>
        </w:tc>
        <w:tc>
          <w:tcPr>
            <w:tcW w:w="4517" w:type="dxa"/>
            <w:shd w:val="clear" w:color="auto" w:fill="B4C6E7" w:themeFill="accent1" w:themeFillTint="66"/>
          </w:tcPr>
          <w:p w14:paraId="66A644D4" w14:textId="77777777" w:rsidR="00974DDF" w:rsidRPr="00D34629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10CC083F">
              <w:rPr>
                <w:rFonts w:ascii="Calibri" w:eastAsia="Times New Roman" w:hAnsi="Calibri" w:cs="Calibri"/>
                <w:b/>
                <w:bCs/>
                <w:color w:val="000000" w:themeColor="text1"/>
              </w:rPr>
              <w:t>Notes</w:t>
            </w:r>
          </w:p>
        </w:tc>
      </w:tr>
      <w:tr w:rsidR="00974DDF" w:rsidRPr="00BC20D7" w14:paraId="5B1B4ACE" w14:textId="77777777" w:rsidTr="00D7456A">
        <w:trPr>
          <w:trHeight w:val="242"/>
        </w:trPr>
        <w:tc>
          <w:tcPr>
            <w:tcW w:w="3176" w:type="dxa"/>
            <w:shd w:val="clear" w:color="auto" w:fill="auto"/>
            <w:noWrap/>
            <w:hideMark/>
          </w:tcPr>
          <w:p w14:paraId="32ACBE28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002 English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807DA0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ELA</w:t>
            </w:r>
          </w:p>
        </w:tc>
        <w:tc>
          <w:tcPr>
            <w:tcW w:w="4517" w:type="dxa"/>
          </w:tcPr>
          <w:p w14:paraId="5043FBAF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51EC6690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1119FB2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003 Journalism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C2847DA" w14:textId="77777777" w:rsidR="00974DDF" w:rsidRPr="00D07045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NOT</w:t>
            </w:r>
          </w:p>
        </w:tc>
        <w:tc>
          <w:tcPr>
            <w:tcW w:w="4517" w:type="dxa"/>
          </w:tcPr>
          <w:p w14:paraId="10596E62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Phased out.</w:t>
            </w:r>
          </w:p>
        </w:tc>
      </w:tr>
      <w:tr w:rsidR="00974DDF" w:rsidRPr="00BC20D7" w14:paraId="4FBA6251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5278EA8" w14:textId="77777777" w:rsidR="00974DDF" w:rsidRPr="00CF2251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004 Speech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998B5E6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ELA</w:t>
            </w:r>
          </w:p>
        </w:tc>
        <w:tc>
          <w:tcPr>
            <w:tcW w:w="4517" w:type="dxa"/>
          </w:tcPr>
          <w:p w14:paraId="4286FD90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2C838098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3C5A9192" w14:textId="77777777" w:rsidR="00974DDF" w:rsidRPr="00CF2251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005 Reading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798F6733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ELA</w:t>
            </w:r>
          </w:p>
        </w:tc>
        <w:tc>
          <w:tcPr>
            <w:tcW w:w="4517" w:type="dxa"/>
          </w:tcPr>
          <w:p w14:paraId="0D771594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06061333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BE9190A" w14:textId="77777777" w:rsidR="00974DDF" w:rsidRPr="00CF2251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007 Economics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8727BF5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SS</w:t>
            </w:r>
          </w:p>
        </w:tc>
        <w:tc>
          <w:tcPr>
            <w:tcW w:w="4517" w:type="dxa"/>
          </w:tcPr>
          <w:p w14:paraId="6B0A5259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17828E12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321B508A" w14:textId="77777777" w:rsidR="00974DDF" w:rsidRPr="00CF2251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008 Geography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CED7CC5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SS</w:t>
            </w:r>
          </w:p>
        </w:tc>
        <w:tc>
          <w:tcPr>
            <w:tcW w:w="4517" w:type="dxa"/>
          </w:tcPr>
          <w:p w14:paraId="1DD88C14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2471B77F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069101DD" w14:textId="77777777" w:rsidR="00974DDF" w:rsidRPr="00CF2251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009 History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4012D0B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SS</w:t>
            </w:r>
          </w:p>
        </w:tc>
        <w:tc>
          <w:tcPr>
            <w:tcW w:w="4517" w:type="dxa"/>
          </w:tcPr>
          <w:p w14:paraId="3C29A37D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2660C5BD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399948BF" w14:textId="77777777" w:rsidR="00974DDF" w:rsidRPr="00CF2251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010 Political Science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8889769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SS</w:t>
            </w:r>
          </w:p>
        </w:tc>
        <w:tc>
          <w:tcPr>
            <w:tcW w:w="4517" w:type="dxa"/>
          </w:tcPr>
          <w:p w14:paraId="3B2570AF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43AD92AD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698EA72B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011 Psychology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0B00FB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SS</w:t>
            </w:r>
          </w:p>
        </w:tc>
        <w:tc>
          <w:tcPr>
            <w:tcW w:w="4517" w:type="dxa"/>
          </w:tcPr>
          <w:p w14:paraId="1D5792F5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6EE0EDE5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4E0D03C" w14:textId="77777777" w:rsidR="00974DDF" w:rsidRPr="00D07045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012 Sociology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FA18262" w14:textId="77777777" w:rsidR="00974DDF" w:rsidRPr="00D07045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NOT</w:t>
            </w:r>
          </w:p>
        </w:tc>
        <w:tc>
          <w:tcPr>
            <w:tcW w:w="4517" w:type="dxa"/>
          </w:tcPr>
          <w:p w14:paraId="2213DBB8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Phased out.</w:t>
            </w:r>
          </w:p>
        </w:tc>
      </w:tr>
      <w:tr w:rsidR="00974DDF" w:rsidRPr="00BC20D7" w14:paraId="7997399A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613520B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017 Biology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E3F408B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SCI</w:t>
            </w:r>
          </w:p>
        </w:tc>
        <w:tc>
          <w:tcPr>
            <w:tcW w:w="4517" w:type="dxa"/>
          </w:tcPr>
          <w:p w14:paraId="0B9BF874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0BEE8DAA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3989C361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018 Chemistry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75193295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SCI</w:t>
            </w:r>
          </w:p>
        </w:tc>
        <w:tc>
          <w:tcPr>
            <w:tcW w:w="4517" w:type="dxa"/>
          </w:tcPr>
          <w:p w14:paraId="62B66FDE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3004937E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59BD6974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019 Physics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28377E8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SCI</w:t>
            </w:r>
          </w:p>
        </w:tc>
        <w:tc>
          <w:tcPr>
            <w:tcW w:w="4517" w:type="dxa"/>
          </w:tcPr>
          <w:p w14:paraId="189BE749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7EA82005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3A9B168D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020 Earth/Space Sci.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ABCE78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SCI</w:t>
            </w:r>
          </w:p>
        </w:tc>
        <w:tc>
          <w:tcPr>
            <w:tcW w:w="4517" w:type="dxa"/>
          </w:tcPr>
          <w:p w14:paraId="6C0B0ABF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388F70C2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12E1498B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022 Mathematics (Sec)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7CF185C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MTH</w:t>
            </w:r>
          </w:p>
        </w:tc>
        <w:tc>
          <w:tcPr>
            <w:tcW w:w="4517" w:type="dxa"/>
          </w:tcPr>
          <w:p w14:paraId="0EE66A7A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474793E9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1E5A348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023 French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11B5F513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0C878D62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3B9B13CE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20022B09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024 German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E39C67F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5980C1E3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7D2AF51C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753A6B8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026 Latin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F2FB55C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144D866E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C9E" w:rsidRPr="00BC20D7" w14:paraId="403211C8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611AA44F" w14:textId="74C4BC30" w:rsidR="00884C9E" w:rsidRPr="10CC083F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027 Russian</w:t>
            </w:r>
          </w:p>
        </w:tc>
        <w:tc>
          <w:tcPr>
            <w:tcW w:w="1482" w:type="dxa"/>
            <w:shd w:val="clear" w:color="auto" w:fill="auto"/>
            <w:noWrap/>
          </w:tcPr>
          <w:p w14:paraId="561E5758" w14:textId="5F3A0ECA" w:rsidR="00884C9E" w:rsidRPr="10CC083F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NOT</w:t>
            </w:r>
          </w:p>
        </w:tc>
        <w:tc>
          <w:tcPr>
            <w:tcW w:w="4517" w:type="dxa"/>
          </w:tcPr>
          <w:p w14:paraId="6509B358" w14:textId="24D0B947" w:rsidR="00884C9E" w:rsidRPr="00BC20D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Phased out.</w:t>
            </w:r>
          </w:p>
        </w:tc>
      </w:tr>
      <w:tr w:rsidR="00974DDF" w:rsidRPr="00BC20D7" w14:paraId="0084B365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40A3A7D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028 Spanish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772CF69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1A8BCEAE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C9E" w:rsidRPr="00BC20D7" w14:paraId="5BAAF7FD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042738A6" w14:textId="768CFE30" w:rsidR="00884C9E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029 Italian</w:t>
            </w:r>
          </w:p>
        </w:tc>
        <w:tc>
          <w:tcPr>
            <w:tcW w:w="1482" w:type="dxa"/>
            <w:shd w:val="clear" w:color="auto" w:fill="auto"/>
            <w:noWrap/>
          </w:tcPr>
          <w:p w14:paraId="6FB4E449" w14:textId="4F4E9D0D" w:rsidR="00884C9E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09A6B644" w14:textId="77777777" w:rsidR="00884C9E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C9E" w:rsidRPr="00BC20D7" w14:paraId="0A74E0F5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5BE33C3D" w14:textId="07230790" w:rsidR="00884C9E" w:rsidRPr="10CC083F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036 Marketing Education</w:t>
            </w:r>
          </w:p>
        </w:tc>
        <w:tc>
          <w:tcPr>
            <w:tcW w:w="1482" w:type="dxa"/>
            <w:shd w:val="clear" w:color="auto" w:fill="auto"/>
            <w:noWrap/>
          </w:tcPr>
          <w:p w14:paraId="378AE978" w14:textId="48F6BBB6" w:rsidR="00884C9E" w:rsidRPr="10CC083F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CRR</w:t>
            </w:r>
          </w:p>
        </w:tc>
        <w:tc>
          <w:tcPr>
            <w:tcW w:w="4517" w:type="dxa"/>
          </w:tcPr>
          <w:p w14:paraId="672B7D5A" w14:textId="2EA46B14" w:rsidR="00884C9E" w:rsidRPr="00BC20D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Phasing out.</w:t>
            </w:r>
          </w:p>
        </w:tc>
      </w:tr>
      <w:tr w:rsidR="00974DDF" w:rsidRPr="00BC20D7" w14:paraId="2FBC9F47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DE2D66C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037 Agricultural Ed.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248D7F0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CRR</w:t>
            </w:r>
          </w:p>
        </w:tc>
        <w:tc>
          <w:tcPr>
            <w:tcW w:w="4517" w:type="dxa"/>
          </w:tcPr>
          <w:p w14:paraId="3F90C404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46D51991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2373EC2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040 Family/Consumer Sci.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C6F7BC2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CRR</w:t>
            </w:r>
          </w:p>
        </w:tc>
        <w:tc>
          <w:tcPr>
            <w:tcW w:w="4517" w:type="dxa"/>
          </w:tcPr>
          <w:p w14:paraId="6BEB8EE0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7C4E9843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842A29E" w14:textId="77777777" w:rsidR="00974DDF" w:rsidRPr="00CF2251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043 Health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F658A86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ARTPE</w:t>
            </w:r>
          </w:p>
        </w:tc>
        <w:tc>
          <w:tcPr>
            <w:tcW w:w="4517" w:type="dxa"/>
          </w:tcPr>
          <w:p w14:paraId="65800BB9" w14:textId="6669FB70" w:rsidR="00974DDF" w:rsidRPr="00BC20D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Phasing out.</w:t>
            </w:r>
          </w:p>
        </w:tc>
      </w:tr>
      <w:tr w:rsidR="00974DDF" w:rsidRPr="00BC20D7" w14:paraId="352B7BE2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6E343D4B" w14:textId="77777777" w:rsidR="00974DDF" w:rsidRPr="00CF2251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044 Physical Education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520694B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ARTPE</w:t>
            </w:r>
          </w:p>
        </w:tc>
        <w:tc>
          <w:tcPr>
            <w:tcW w:w="4517" w:type="dxa"/>
          </w:tcPr>
          <w:p w14:paraId="2774569D" w14:textId="6B93A110" w:rsidR="00974DDF" w:rsidRPr="00BC20D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Phasing out.</w:t>
            </w:r>
          </w:p>
        </w:tc>
      </w:tr>
      <w:tr w:rsidR="00974DDF" w:rsidRPr="00BC20D7" w14:paraId="4A744240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603C6571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046 Dance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80C7FD0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NOT</w:t>
            </w:r>
          </w:p>
        </w:tc>
        <w:tc>
          <w:tcPr>
            <w:tcW w:w="4517" w:type="dxa"/>
          </w:tcPr>
          <w:p w14:paraId="62900748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Phased out.</w:t>
            </w:r>
          </w:p>
        </w:tc>
      </w:tr>
      <w:tr w:rsidR="00974DDF" w:rsidRPr="00BC20D7" w14:paraId="16EF7BB7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691E7D12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048 Library Media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1B103FD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NOT</w:t>
            </w:r>
          </w:p>
        </w:tc>
        <w:tc>
          <w:tcPr>
            <w:tcW w:w="4517" w:type="dxa"/>
          </w:tcPr>
          <w:p w14:paraId="0EF2E2B2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Is solely an additional endorsement</w:t>
            </w:r>
          </w:p>
        </w:tc>
      </w:tr>
      <w:tr w:rsidR="00974DDF" w:rsidRPr="00BC20D7" w14:paraId="75B2EC93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C69E608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050 Computer Science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5AAB6D9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NOT</w:t>
            </w:r>
          </w:p>
        </w:tc>
        <w:tc>
          <w:tcPr>
            <w:tcW w:w="4517" w:type="dxa"/>
          </w:tcPr>
          <w:p w14:paraId="013552B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Phased out.</w:t>
            </w:r>
          </w:p>
        </w:tc>
      </w:tr>
      <w:tr w:rsidR="00974DDF" w:rsidRPr="00BC20D7" w14:paraId="1149518F" w14:textId="77777777" w:rsidTr="00D7456A">
        <w:trPr>
          <w:trHeight w:val="323"/>
        </w:trPr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2AC926" w14:textId="77777777" w:rsidR="00974DDF" w:rsidRPr="00D7456A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eastAsia="Times New Roman" w:hAnsi="Calibri" w:cs="Calibri"/>
              </w:rPr>
              <w:t>051 School Counselor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3A506" w14:textId="77777777" w:rsidR="00974DDF" w:rsidRPr="00D7456A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eastAsia="Times New Roman" w:hAnsi="Calibri" w:cs="Calibri"/>
              </w:rPr>
              <w:t>NOT</w:t>
            </w:r>
          </w:p>
        </w:tc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EB883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Is solely an additional endorsement</w:t>
            </w:r>
          </w:p>
        </w:tc>
      </w:tr>
      <w:tr w:rsidR="00AA0253" w:rsidRPr="00BC20D7" w14:paraId="2DDC8CC0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544CE9C6" w14:textId="17B8BADD" w:rsidR="00AA0253" w:rsidRPr="00D7456A" w:rsidRDefault="4983342F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hAnsi="Calibri" w:cs="Calibri"/>
                <w:shd w:val="clear" w:color="auto" w:fill="FFFFFF"/>
              </w:rPr>
              <w:t>053 Fine Arts</w:t>
            </w:r>
          </w:p>
        </w:tc>
        <w:tc>
          <w:tcPr>
            <w:tcW w:w="1482" w:type="dxa"/>
            <w:shd w:val="clear" w:color="auto" w:fill="auto"/>
            <w:noWrap/>
          </w:tcPr>
          <w:p w14:paraId="25B12527" w14:textId="2CF287C6" w:rsidR="00AA0253" w:rsidRPr="00D7456A" w:rsidRDefault="4983342F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eastAsia="Times New Roman" w:hAnsi="Calibri" w:cs="Calibri"/>
              </w:rPr>
              <w:t>NOT</w:t>
            </w:r>
          </w:p>
        </w:tc>
        <w:tc>
          <w:tcPr>
            <w:tcW w:w="4517" w:type="dxa"/>
          </w:tcPr>
          <w:p w14:paraId="17EB02F1" w14:textId="79D4DA3B" w:rsidR="00AA0253" w:rsidRPr="00BC20D7" w:rsidRDefault="4983342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Phased out.</w:t>
            </w:r>
          </w:p>
        </w:tc>
      </w:tr>
      <w:tr w:rsidR="00974DDF" w:rsidRPr="00BC20D7" w14:paraId="0CCDA548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4CA97DE" w14:textId="77777777" w:rsidR="00974DDF" w:rsidRPr="00D7456A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eastAsia="Times New Roman" w:hAnsi="Calibri" w:cs="Calibri"/>
              </w:rPr>
              <w:t>056 Cognitive Impairment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B30ECFA" w14:textId="77777777" w:rsidR="00974DDF" w:rsidRPr="00D7456A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eastAsia="Times New Roman" w:hAnsi="Calibri" w:cs="Calibri"/>
              </w:rPr>
              <w:t>SPED</w:t>
            </w:r>
          </w:p>
        </w:tc>
        <w:tc>
          <w:tcPr>
            <w:tcW w:w="4517" w:type="dxa"/>
          </w:tcPr>
          <w:p w14:paraId="0EFFF7AF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1DB89BBC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84A712E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057 Speech/Lang. Impaired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AE4CA20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SPED</w:t>
            </w:r>
          </w:p>
        </w:tc>
        <w:tc>
          <w:tcPr>
            <w:tcW w:w="4517" w:type="dxa"/>
          </w:tcPr>
          <w:p w14:paraId="662B145A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01E50D74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E3B495F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058 Phys/Other Impairment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37AA5B1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SPED</w:t>
            </w:r>
          </w:p>
        </w:tc>
        <w:tc>
          <w:tcPr>
            <w:tcW w:w="4517" w:type="dxa"/>
          </w:tcPr>
          <w:p w14:paraId="23334B86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3B6961A6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B41D05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059 Emotional Impairment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36E27219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SPED</w:t>
            </w:r>
          </w:p>
        </w:tc>
        <w:tc>
          <w:tcPr>
            <w:tcW w:w="4517" w:type="dxa"/>
          </w:tcPr>
          <w:p w14:paraId="2840076B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0323A7E1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54D3E59C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061 Visually Impaired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01C7660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SPED</w:t>
            </w:r>
          </w:p>
        </w:tc>
        <w:tc>
          <w:tcPr>
            <w:tcW w:w="4517" w:type="dxa"/>
          </w:tcPr>
          <w:p w14:paraId="3EF61F83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C9E" w:rsidRPr="00BC20D7" w14:paraId="727F7BFF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0B209136" w14:textId="5D9E8668" w:rsidR="00884C9E" w:rsidRPr="10CC083F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062 Deaf and Hard of Hearing</w:t>
            </w:r>
          </w:p>
        </w:tc>
        <w:tc>
          <w:tcPr>
            <w:tcW w:w="1482" w:type="dxa"/>
            <w:shd w:val="clear" w:color="auto" w:fill="auto"/>
            <w:noWrap/>
          </w:tcPr>
          <w:p w14:paraId="7B6F7C10" w14:textId="3A0F7373" w:rsidR="00884C9E" w:rsidRPr="10CC083F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SPED</w:t>
            </w:r>
          </w:p>
        </w:tc>
        <w:tc>
          <w:tcPr>
            <w:tcW w:w="4517" w:type="dxa"/>
          </w:tcPr>
          <w:p w14:paraId="7EF75B88" w14:textId="5B8669A4" w:rsidR="00884C9E" w:rsidRPr="10CC083F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Test code will change in spring 2023.</w:t>
            </w:r>
          </w:p>
        </w:tc>
      </w:tr>
      <w:tr w:rsidR="00974DDF" w:rsidRPr="00BC20D7" w14:paraId="1F35EAB9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09EC1A90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063 Learning Disabilities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1C3C62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SPED</w:t>
            </w:r>
          </w:p>
        </w:tc>
        <w:tc>
          <w:tcPr>
            <w:tcW w:w="4517" w:type="dxa"/>
          </w:tcPr>
          <w:p w14:paraId="0E95ADB6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Phased out.</w:t>
            </w:r>
          </w:p>
        </w:tc>
      </w:tr>
      <w:tr w:rsidR="00974DDF" w:rsidRPr="00BC20D7" w14:paraId="7852297A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27A793F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064 Autism Spectrum Dis.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F8A4F02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SPED</w:t>
            </w:r>
          </w:p>
        </w:tc>
        <w:tc>
          <w:tcPr>
            <w:tcW w:w="4517" w:type="dxa"/>
          </w:tcPr>
          <w:p w14:paraId="5805F9EF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72F244B7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030E1D7E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075 Bilingual Education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F8E1B1A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19B2945C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5049262E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534322A1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084 Social Studies (Sec)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19467F5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SS</w:t>
            </w:r>
          </w:p>
        </w:tc>
        <w:tc>
          <w:tcPr>
            <w:tcW w:w="4517" w:type="dxa"/>
          </w:tcPr>
          <w:p w14:paraId="45650A4E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5EB42CEA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214A965E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085 Middle Level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5775DF4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GL</w:t>
            </w:r>
          </w:p>
        </w:tc>
        <w:tc>
          <w:tcPr>
            <w:tcW w:w="4517" w:type="dxa"/>
          </w:tcPr>
          <w:p w14:paraId="0F5C3043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5AF2B4E6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12BFE26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lastRenderedPageBreak/>
              <w:t>086 ESL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FC1DC48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5B2CA63F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1C52274B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2C12B89E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087 Industrial Tech.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5414FCD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CRR</w:t>
            </w:r>
          </w:p>
        </w:tc>
        <w:tc>
          <w:tcPr>
            <w:tcW w:w="4517" w:type="dxa"/>
          </w:tcPr>
          <w:p w14:paraId="159F537A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38954563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16BA3606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089 Mathematics (Elem)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0B74C7D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MTH</w:t>
            </w:r>
          </w:p>
        </w:tc>
        <w:tc>
          <w:tcPr>
            <w:tcW w:w="4517" w:type="dxa"/>
          </w:tcPr>
          <w:p w14:paraId="12FE15C1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10DF84C6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5193B5C0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090 Language Arts (Elem)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AB0738C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ELA</w:t>
            </w:r>
          </w:p>
        </w:tc>
        <w:tc>
          <w:tcPr>
            <w:tcW w:w="4517" w:type="dxa"/>
          </w:tcPr>
          <w:p w14:paraId="4E4D91CF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4B7C0E12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69F559D9" w14:textId="77777777" w:rsidR="00974DDF" w:rsidRPr="00917098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098">
              <w:rPr>
                <w:rFonts w:ascii="Calibri" w:eastAsia="Times New Roman" w:hAnsi="Calibri" w:cs="Calibri"/>
                <w:color w:val="000000" w:themeColor="text1"/>
              </w:rPr>
              <w:t>091 Communication (Sec)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484C356" w14:textId="77777777" w:rsidR="00974DDF" w:rsidRPr="00917098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098">
              <w:rPr>
                <w:rFonts w:ascii="Calibri" w:eastAsia="Times New Roman" w:hAnsi="Calibri" w:cs="Calibri"/>
                <w:color w:val="000000" w:themeColor="text1"/>
              </w:rPr>
              <w:t>NOT</w:t>
            </w:r>
          </w:p>
        </w:tc>
        <w:tc>
          <w:tcPr>
            <w:tcW w:w="4517" w:type="dxa"/>
          </w:tcPr>
          <w:p w14:paraId="74466420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Phased out.</w:t>
            </w:r>
          </w:p>
        </w:tc>
      </w:tr>
      <w:tr w:rsidR="00974DDF" w:rsidRPr="00BC20D7" w14:paraId="59AF9478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134987C" w14:textId="77777777" w:rsidR="00974DDF" w:rsidRPr="00917098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098">
              <w:rPr>
                <w:rFonts w:ascii="Calibri" w:eastAsia="Times New Roman" w:hAnsi="Calibri" w:cs="Calibri"/>
                <w:color w:val="000000" w:themeColor="text1"/>
              </w:rPr>
              <w:t>092 Reading Specialist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9CAC5FC" w14:textId="1514C71D" w:rsidR="00974DDF" w:rsidRPr="00917098" w:rsidRDefault="00917098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917098">
              <w:rPr>
                <w:rFonts w:ascii="Calibri" w:eastAsia="Times New Roman" w:hAnsi="Calibri" w:cs="Calibri"/>
                <w:color w:val="000000"/>
              </w:rPr>
              <w:t>NOT</w:t>
            </w:r>
          </w:p>
        </w:tc>
        <w:tc>
          <w:tcPr>
            <w:tcW w:w="4517" w:type="dxa"/>
          </w:tcPr>
          <w:p w14:paraId="431A0E9E" w14:textId="019A2F3B" w:rsidR="00974DDF" w:rsidRPr="00897F6C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highlight w:val="yellow"/>
              </w:rPr>
            </w:pPr>
          </w:p>
        </w:tc>
      </w:tr>
      <w:tr w:rsidR="00974DDF" w:rsidRPr="00BC20D7" w14:paraId="7794CA53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3FDFADF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093 Integrated Sci (Elem)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0321A591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SCI</w:t>
            </w:r>
          </w:p>
        </w:tc>
        <w:tc>
          <w:tcPr>
            <w:tcW w:w="4517" w:type="dxa"/>
          </w:tcPr>
          <w:p w14:paraId="3CD94E12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616C47B0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2222D56E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094 Integrated Sci (Sec)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D62996E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SCI</w:t>
            </w:r>
          </w:p>
        </w:tc>
        <w:tc>
          <w:tcPr>
            <w:tcW w:w="4517" w:type="dxa"/>
          </w:tcPr>
          <w:p w14:paraId="3AA4DAD7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2BB835B8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1207261F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095 Visual Arts Ed.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374E3E6A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ARTPE</w:t>
            </w:r>
          </w:p>
        </w:tc>
        <w:tc>
          <w:tcPr>
            <w:tcW w:w="4517" w:type="dxa"/>
          </w:tcPr>
          <w:p w14:paraId="4FBD4977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3BBC9183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54F1A55D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097 Physical Science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561D29A" w14:textId="07735EEB" w:rsidR="00974DDF" w:rsidRPr="00BC20D7" w:rsidRDefault="0091712B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 w:themeColor="text1"/>
              </w:rPr>
              <w:t>SCI</w:t>
            </w:r>
          </w:p>
        </w:tc>
        <w:tc>
          <w:tcPr>
            <w:tcW w:w="4517" w:type="dxa"/>
          </w:tcPr>
          <w:p w14:paraId="24D9346A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3910734C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C27219C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 xml:space="preserve">098 Business Mgt </w:t>
            </w:r>
            <w:proofErr w:type="spellStart"/>
            <w:r w:rsidRPr="10CC083F">
              <w:rPr>
                <w:rFonts w:ascii="Calibri" w:eastAsia="Times New Roman" w:hAnsi="Calibri" w:cs="Calibri"/>
                <w:color w:val="000000" w:themeColor="text1"/>
              </w:rPr>
              <w:t>Mrkt</w:t>
            </w:r>
            <w:proofErr w:type="spellEnd"/>
            <w:r w:rsidRPr="10CC083F">
              <w:rPr>
                <w:rFonts w:ascii="Calibri" w:eastAsia="Times New Roman" w:hAnsi="Calibri" w:cs="Calibri"/>
                <w:color w:val="000000" w:themeColor="text1"/>
              </w:rPr>
              <w:t xml:space="preserve"> Tech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14414168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CRR</w:t>
            </w:r>
          </w:p>
        </w:tc>
        <w:tc>
          <w:tcPr>
            <w:tcW w:w="4517" w:type="dxa"/>
          </w:tcPr>
          <w:p w14:paraId="2676DD31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550DF86D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472403EC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099 Music Education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BB7625B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ARTPE</w:t>
            </w:r>
          </w:p>
        </w:tc>
        <w:tc>
          <w:tcPr>
            <w:tcW w:w="4517" w:type="dxa"/>
          </w:tcPr>
          <w:p w14:paraId="55450CEE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64564D87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14005201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100 Japanese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6B56B31F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7822A664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2431D6B2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5DE90FFA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101 Chinese (Mandarin)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5116E52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7661E241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520DF8CA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2706208A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102 Arabic (Modern Std)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311B189D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WL</w:t>
            </w:r>
          </w:p>
        </w:tc>
        <w:tc>
          <w:tcPr>
            <w:tcW w:w="4517" w:type="dxa"/>
          </w:tcPr>
          <w:p w14:paraId="778C07A3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28B91FA4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7D0E51E5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103 Elementary Education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968A95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GL</w:t>
            </w:r>
          </w:p>
        </w:tc>
        <w:tc>
          <w:tcPr>
            <w:tcW w:w="4517" w:type="dxa"/>
          </w:tcPr>
          <w:p w14:paraId="2F353EDB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2F3E4A85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60FFA660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105 Social Studies (Elem)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A9E9BDF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SS</w:t>
            </w:r>
          </w:p>
        </w:tc>
        <w:tc>
          <w:tcPr>
            <w:tcW w:w="4517" w:type="dxa"/>
          </w:tcPr>
          <w:p w14:paraId="41CEA289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44A6277D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03BDA79D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106 Early Child Ed (Gen &amp; SPED)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1DD3D69A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GL</w:t>
            </w:r>
          </w:p>
        </w:tc>
        <w:tc>
          <w:tcPr>
            <w:tcW w:w="4517" w:type="dxa"/>
          </w:tcPr>
          <w:p w14:paraId="62DC9DFF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33EC834D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3545B6CF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112 Health Ed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4E82F937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ARTPE</w:t>
            </w:r>
          </w:p>
        </w:tc>
        <w:tc>
          <w:tcPr>
            <w:tcW w:w="4517" w:type="dxa"/>
          </w:tcPr>
          <w:p w14:paraId="119FA0E7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2D459659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13760275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113 Phys Ed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3149020B" w14:textId="77777777" w:rsidR="00974DDF" w:rsidRPr="00BC20D7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10CC083F">
              <w:rPr>
                <w:rFonts w:ascii="Calibri" w:eastAsia="Times New Roman" w:hAnsi="Calibri" w:cs="Calibri"/>
                <w:color w:val="000000" w:themeColor="text1"/>
              </w:rPr>
              <w:t>ARTPE</w:t>
            </w:r>
          </w:p>
        </w:tc>
        <w:tc>
          <w:tcPr>
            <w:tcW w:w="4517" w:type="dxa"/>
          </w:tcPr>
          <w:p w14:paraId="58E03B08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974DDF" w:rsidRPr="00BC20D7" w14:paraId="7B42D69F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  <w:hideMark/>
          </w:tcPr>
          <w:p w14:paraId="61A59225" w14:textId="77777777" w:rsidR="00974DDF" w:rsidRPr="00D7456A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eastAsia="Times New Roman" w:hAnsi="Calibri" w:cs="Calibri"/>
              </w:rPr>
              <w:t>114 Learning Disabilities</w:t>
            </w:r>
          </w:p>
        </w:tc>
        <w:tc>
          <w:tcPr>
            <w:tcW w:w="1482" w:type="dxa"/>
            <w:shd w:val="clear" w:color="auto" w:fill="auto"/>
            <w:noWrap/>
            <w:hideMark/>
          </w:tcPr>
          <w:p w14:paraId="27E49007" w14:textId="77777777" w:rsidR="00974DDF" w:rsidRPr="00D7456A" w:rsidRDefault="7A314DA0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eastAsia="Times New Roman" w:hAnsi="Calibri" w:cs="Calibri"/>
              </w:rPr>
              <w:t>SPED</w:t>
            </w:r>
          </w:p>
        </w:tc>
        <w:tc>
          <w:tcPr>
            <w:tcW w:w="4517" w:type="dxa"/>
          </w:tcPr>
          <w:p w14:paraId="06761651" w14:textId="77777777" w:rsidR="00974DDF" w:rsidRPr="00BC20D7" w:rsidRDefault="00974DDF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7B5" w:rsidRPr="00BC20D7" w14:paraId="5FC44A36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3897B916" w14:textId="24418B49" w:rsidR="008937B5" w:rsidRPr="00D7456A" w:rsidRDefault="7242F5A5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hAnsi="Calibri" w:cs="Calibri"/>
                <w:shd w:val="clear" w:color="auto" w:fill="FFFFFF"/>
              </w:rPr>
              <w:t>115 Cognitive Impairment</w:t>
            </w:r>
          </w:p>
        </w:tc>
        <w:tc>
          <w:tcPr>
            <w:tcW w:w="1482" w:type="dxa"/>
            <w:shd w:val="clear" w:color="auto" w:fill="auto"/>
            <w:noWrap/>
          </w:tcPr>
          <w:p w14:paraId="2FA44C5F" w14:textId="3F8C53F8" w:rsidR="008937B5" w:rsidRPr="00D7456A" w:rsidRDefault="7242F5A5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eastAsia="Times New Roman" w:hAnsi="Calibri" w:cs="Calibri"/>
              </w:rPr>
              <w:t>SPED</w:t>
            </w:r>
          </w:p>
        </w:tc>
        <w:tc>
          <w:tcPr>
            <w:tcW w:w="4517" w:type="dxa"/>
          </w:tcPr>
          <w:p w14:paraId="4D12A803" w14:textId="77777777" w:rsidR="008937B5" w:rsidRPr="00BC20D7" w:rsidRDefault="008937B5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937B5" w:rsidRPr="00BC20D7" w14:paraId="6ED3544A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048C86ED" w14:textId="0B001D2F" w:rsidR="008937B5" w:rsidRPr="00D7456A" w:rsidRDefault="7242F5A5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hAnsi="Calibri" w:cs="Calibri"/>
                <w:shd w:val="clear" w:color="auto" w:fill="FFFFFF"/>
              </w:rPr>
              <w:t>116 Emotional Impairment</w:t>
            </w:r>
          </w:p>
        </w:tc>
        <w:tc>
          <w:tcPr>
            <w:tcW w:w="1482" w:type="dxa"/>
            <w:shd w:val="clear" w:color="auto" w:fill="auto"/>
            <w:noWrap/>
          </w:tcPr>
          <w:p w14:paraId="1E20E593" w14:textId="413E6D25" w:rsidR="008937B5" w:rsidRPr="00D7456A" w:rsidRDefault="7242F5A5" w:rsidP="00D7456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7456A">
              <w:rPr>
                <w:rFonts w:ascii="Calibri" w:eastAsia="Times New Roman" w:hAnsi="Calibri" w:cs="Calibri"/>
              </w:rPr>
              <w:t>SPED</w:t>
            </w:r>
          </w:p>
        </w:tc>
        <w:tc>
          <w:tcPr>
            <w:tcW w:w="4517" w:type="dxa"/>
          </w:tcPr>
          <w:p w14:paraId="6F140A12" w14:textId="77777777" w:rsidR="008937B5" w:rsidRPr="00BC20D7" w:rsidRDefault="008937B5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84C9E" w:rsidRPr="00BC20D7" w14:paraId="1A251A98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14806C0E" w14:textId="1DD00C5B" w:rsidR="00884C9E" w:rsidRPr="00664FE7" w:rsidRDefault="00884C9E" w:rsidP="00D7456A">
            <w:pPr>
              <w:spacing w:after="0" w:line="240" w:lineRule="auto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664FE7">
              <w:rPr>
                <w:rFonts w:ascii="Calibri" w:hAnsi="Calibri" w:cs="Calibri"/>
                <w:color w:val="000000" w:themeColor="text1"/>
                <w:shd w:val="clear" w:color="auto" w:fill="FFFFFF"/>
              </w:rPr>
              <w:t>117 Lower Elementary (PK-3) Ed</w:t>
            </w:r>
          </w:p>
        </w:tc>
        <w:tc>
          <w:tcPr>
            <w:tcW w:w="1482" w:type="dxa"/>
            <w:shd w:val="clear" w:color="auto" w:fill="auto"/>
            <w:noWrap/>
          </w:tcPr>
          <w:p w14:paraId="1DBE081D" w14:textId="2178BB21" w:rsidR="00884C9E" w:rsidRPr="00664FE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664FE7">
              <w:rPr>
                <w:rFonts w:ascii="Calibri" w:eastAsia="Times New Roman" w:hAnsi="Calibri" w:cs="Calibri"/>
                <w:color w:val="000000" w:themeColor="text1"/>
              </w:rPr>
              <w:t>GL</w:t>
            </w:r>
          </w:p>
        </w:tc>
        <w:tc>
          <w:tcPr>
            <w:tcW w:w="4517" w:type="dxa"/>
          </w:tcPr>
          <w:p w14:paraId="1E4A0EC3" w14:textId="77777777" w:rsidR="00884C9E" w:rsidRPr="00664FE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84C9E" w:rsidRPr="00BC20D7" w14:paraId="214C8EA7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504ED966" w14:textId="776A6BAA" w:rsidR="00884C9E" w:rsidRPr="00664FE7" w:rsidRDefault="00884C9E" w:rsidP="00D7456A">
            <w:pPr>
              <w:spacing w:after="0" w:line="240" w:lineRule="auto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664FE7">
              <w:rPr>
                <w:rFonts w:ascii="Calibri" w:hAnsi="Calibri" w:cs="Calibri"/>
                <w:color w:val="000000" w:themeColor="text1"/>
                <w:shd w:val="clear" w:color="auto" w:fill="FFFFFF"/>
              </w:rPr>
              <w:t>118 Lower Elementary (PK-3) Ed</w:t>
            </w:r>
          </w:p>
        </w:tc>
        <w:tc>
          <w:tcPr>
            <w:tcW w:w="1482" w:type="dxa"/>
            <w:shd w:val="clear" w:color="auto" w:fill="auto"/>
            <w:noWrap/>
          </w:tcPr>
          <w:p w14:paraId="7BF70B26" w14:textId="7F43DADD" w:rsidR="00884C9E" w:rsidRPr="00664FE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664FE7">
              <w:rPr>
                <w:rFonts w:ascii="Calibri" w:eastAsia="Times New Roman" w:hAnsi="Calibri" w:cs="Calibri"/>
                <w:color w:val="000000" w:themeColor="text1"/>
              </w:rPr>
              <w:t>GL</w:t>
            </w:r>
          </w:p>
        </w:tc>
        <w:tc>
          <w:tcPr>
            <w:tcW w:w="4517" w:type="dxa"/>
          </w:tcPr>
          <w:p w14:paraId="4F739CA0" w14:textId="77777777" w:rsidR="00884C9E" w:rsidRPr="00664FE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84C9E" w:rsidRPr="00BC20D7" w14:paraId="33344AAC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4CCA0CAC" w14:textId="53646D15" w:rsidR="00884C9E" w:rsidRPr="00664FE7" w:rsidRDefault="00884C9E" w:rsidP="00D7456A">
            <w:pPr>
              <w:spacing w:after="0" w:line="240" w:lineRule="auto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664FE7">
              <w:rPr>
                <w:rFonts w:ascii="Calibri" w:hAnsi="Calibri" w:cs="Calibri"/>
                <w:color w:val="000000" w:themeColor="text1"/>
                <w:shd w:val="clear" w:color="auto" w:fill="FFFFFF"/>
              </w:rPr>
              <w:t>119 Lower Elementary (PK-3) Ed</w:t>
            </w:r>
          </w:p>
        </w:tc>
        <w:tc>
          <w:tcPr>
            <w:tcW w:w="1482" w:type="dxa"/>
            <w:shd w:val="clear" w:color="auto" w:fill="auto"/>
            <w:noWrap/>
          </w:tcPr>
          <w:p w14:paraId="7E550A55" w14:textId="7BA3F324" w:rsidR="00884C9E" w:rsidRPr="00664FE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664FE7">
              <w:rPr>
                <w:rFonts w:ascii="Calibri" w:eastAsia="Times New Roman" w:hAnsi="Calibri" w:cs="Calibri"/>
                <w:color w:val="000000" w:themeColor="text1"/>
              </w:rPr>
              <w:t>GL</w:t>
            </w:r>
          </w:p>
        </w:tc>
        <w:tc>
          <w:tcPr>
            <w:tcW w:w="4517" w:type="dxa"/>
          </w:tcPr>
          <w:p w14:paraId="1F7A55A4" w14:textId="77777777" w:rsidR="00884C9E" w:rsidRPr="00664FE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  <w:tr w:rsidR="00884C9E" w:rsidRPr="00BC20D7" w14:paraId="677EB265" w14:textId="77777777" w:rsidTr="00D7456A">
        <w:trPr>
          <w:trHeight w:val="290"/>
        </w:trPr>
        <w:tc>
          <w:tcPr>
            <w:tcW w:w="3176" w:type="dxa"/>
            <w:shd w:val="clear" w:color="auto" w:fill="auto"/>
            <w:noWrap/>
          </w:tcPr>
          <w:p w14:paraId="390E307A" w14:textId="4F4730E6" w:rsidR="00884C9E" w:rsidRPr="00664FE7" w:rsidRDefault="00884C9E" w:rsidP="00D7456A">
            <w:pPr>
              <w:spacing w:after="0" w:line="240" w:lineRule="auto"/>
              <w:rPr>
                <w:rFonts w:ascii="Calibri" w:hAnsi="Calibri" w:cs="Calibri"/>
                <w:color w:val="000000" w:themeColor="text1"/>
                <w:shd w:val="clear" w:color="auto" w:fill="FFFFFF"/>
              </w:rPr>
            </w:pPr>
            <w:r w:rsidRPr="00664FE7">
              <w:rPr>
                <w:rFonts w:ascii="Calibri" w:hAnsi="Calibri" w:cs="Calibri"/>
                <w:color w:val="000000" w:themeColor="text1"/>
                <w:shd w:val="clear" w:color="auto" w:fill="FFFFFF"/>
              </w:rPr>
              <w:t>120 Lower Elementary (PK-3) Ed</w:t>
            </w:r>
          </w:p>
        </w:tc>
        <w:tc>
          <w:tcPr>
            <w:tcW w:w="1482" w:type="dxa"/>
            <w:shd w:val="clear" w:color="auto" w:fill="auto"/>
            <w:noWrap/>
          </w:tcPr>
          <w:p w14:paraId="70667AA1" w14:textId="1EE0AE01" w:rsidR="00884C9E" w:rsidRPr="00664FE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  <w:r w:rsidRPr="00664FE7">
              <w:rPr>
                <w:rFonts w:ascii="Calibri" w:eastAsia="Times New Roman" w:hAnsi="Calibri" w:cs="Calibri"/>
                <w:color w:val="000000" w:themeColor="text1"/>
              </w:rPr>
              <w:t>GL</w:t>
            </w:r>
          </w:p>
        </w:tc>
        <w:tc>
          <w:tcPr>
            <w:tcW w:w="4517" w:type="dxa"/>
          </w:tcPr>
          <w:p w14:paraId="267B692D" w14:textId="77777777" w:rsidR="00884C9E" w:rsidRPr="00664FE7" w:rsidRDefault="00884C9E" w:rsidP="00D7456A">
            <w:pPr>
              <w:spacing w:after="0" w:line="240" w:lineRule="auto"/>
              <w:rPr>
                <w:rFonts w:ascii="Calibri" w:eastAsia="Times New Roman" w:hAnsi="Calibri" w:cs="Calibri"/>
                <w:color w:val="000000" w:themeColor="text1"/>
              </w:rPr>
            </w:pPr>
          </w:p>
        </w:tc>
      </w:tr>
    </w:tbl>
    <w:p w14:paraId="1C6AC36F" w14:textId="77777777" w:rsidR="003A2C9E" w:rsidRDefault="003A2C9E" w:rsidP="003A2C9E">
      <w:pPr>
        <w:spacing w:before="360" w:after="0" w:line="240" w:lineRule="auto"/>
      </w:pPr>
      <w:r>
        <w:t>ELA=English Language Arts</w:t>
      </w:r>
    </w:p>
    <w:p w14:paraId="46D8327F" w14:textId="77777777" w:rsidR="003A2C9E" w:rsidRDefault="003A2C9E" w:rsidP="003A2C9E">
      <w:pPr>
        <w:spacing w:after="0" w:line="240" w:lineRule="auto"/>
      </w:pPr>
      <w:r>
        <w:t>SS=Social Studies</w:t>
      </w:r>
    </w:p>
    <w:p w14:paraId="6F15FC50" w14:textId="77777777" w:rsidR="003A2C9E" w:rsidRDefault="003A2C9E" w:rsidP="003A2C9E">
      <w:pPr>
        <w:spacing w:after="0" w:line="240" w:lineRule="auto"/>
      </w:pPr>
      <w:r>
        <w:t>SCI=Science</w:t>
      </w:r>
    </w:p>
    <w:p w14:paraId="397D8286" w14:textId="77777777" w:rsidR="003A2C9E" w:rsidRDefault="003A2C9E" w:rsidP="003A2C9E">
      <w:pPr>
        <w:spacing w:after="0" w:line="240" w:lineRule="auto"/>
      </w:pPr>
      <w:r>
        <w:t>MTH=Math</w:t>
      </w:r>
    </w:p>
    <w:p w14:paraId="1F051317" w14:textId="77777777" w:rsidR="003A2C9E" w:rsidRDefault="003A2C9E" w:rsidP="003A2C9E">
      <w:pPr>
        <w:spacing w:after="0" w:line="240" w:lineRule="auto"/>
      </w:pPr>
      <w:r>
        <w:t>SPED=Special Education</w:t>
      </w:r>
    </w:p>
    <w:p w14:paraId="20BA2CFA" w14:textId="77777777" w:rsidR="003A2C9E" w:rsidRDefault="003A2C9E" w:rsidP="003A2C9E">
      <w:pPr>
        <w:spacing w:after="0" w:line="240" w:lineRule="auto"/>
      </w:pPr>
      <w:r>
        <w:t>WL=World Languages</w:t>
      </w:r>
    </w:p>
    <w:p w14:paraId="215C4192" w14:textId="77777777" w:rsidR="003A2C9E" w:rsidRDefault="003A2C9E" w:rsidP="003A2C9E">
      <w:pPr>
        <w:spacing w:after="0" w:line="240" w:lineRule="auto"/>
      </w:pPr>
      <w:r>
        <w:t>GL=Grade Level</w:t>
      </w:r>
    </w:p>
    <w:p w14:paraId="6B4C5434" w14:textId="77777777" w:rsidR="003A2C9E" w:rsidRDefault="003A2C9E" w:rsidP="003A2C9E">
      <w:pPr>
        <w:spacing w:after="0" w:line="240" w:lineRule="auto"/>
      </w:pPr>
      <w:r>
        <w:t>CRR=Career/Tech</w:t>
      </w:r>
    </w:p>
    <w:p w14:paraId="6A474ABF" w14:textId="77777777" w:rsidR="003A2C9E" w:rsidRDefault="003A2C9E" w:rsidP="003A2C9E">
      <w:pPr>
        <w:spacing w:after="0" w:line="240" w:lineRule="auto"/>
      </w:pPr>
      <w:r>
        <w:t>ARTPE=Arts, Physical Ed, Health</w:t>
      </w:r>
    </w:p>
    <w:p w14:paraId="585F4FEE" w14:textId="4C0B64F7" w:rsidR="00CF2251" w:rsidRDefault="003A2C9E" w:rsidP="003A2C9E">
      <w:pPr>
        <w:spacing w:after="0"/>
      </w:pPr>
      <w:r>
        <w:t>NOT=Not to be included – either a post initial certification endorsement, or is being phased out</w:t>
      </w:r>
    </w:p>
    <w:sectPr w:rsidR="00CF2251" w:rsidSect="0034150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EEFCC" w14:textId="77777777" w:rsidR="00981A00" w:rsidRDefault="00981A00" w:rsidP="00CC781A">
      <w:pPr>
        <w:spacing w:after="0" w:line="240" w:lineRule="auto"/>
      </w:pPr>
      <w:r>
        <w:separator/>
      </w:r>
    </w:p>
  </w:endnote>
  <w:endnote w:type="continuationSeparator" w:id="0">
    <w:p w14:paraId="0A0D3725" w14:textId="77777777" w:rsidR="00981A00" w:rsidRDefault="00981A00" w:rsidP="00CC781A">
      <w:pPr>
        <w:spacing w:after="0" w:line="240" w:lineRule="auto"/>
      </w:pPr>
      <w:r>
        <w:continuationSeparator/>
      </w:r>
    </w:p>
  </w:endnote>
  <w:endnote w:type="continuationNotice" w:id="1">
    <w:p w14:paraId="577B0176" w14:textId="77777777" w:rsidR="00981A00" w:rsidRDefault="00981A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77B32" w14:textId="77777777" w:rsidR="00E24CEB" w:rsidRDefault="00E24C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14728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750EC6" w14:textId="6700A41C" w:rsidR="006359CE" w:rsidRDefault="006359C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E5089A" w14:textId="77777777" w:rsidR="003A2C9E" w:rsidRDefault="003A2C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129CA" w14:textId="77777777" w:rsidR="00E24CEB" w:rsidRDefault="00E24C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323A2" w14:textId="77777777" w:rsidR="00981A00" w:rsidRDefault="00981A00" w:rsidP="00CC781A">
      <w:pPr>
        <w:spacing w:after="0" w:line="240" w:lineRule="auto"/>
      </w:pPr>
      <w:r>
        <w:separator/>
      </w:r>
    </w:p>
  </w:footnote>
  <w:footnote w:type="continuationSeparator" w:id="0">
    <w:p w14:paraId="2AD2169D" w14:textId="77777777" w:rsidR="00981A00" w:rsidRDefault="00981A00" w:rsidP="00CC781A">
      <w:pPr>
        <w:spacing w:after="0" w:line="240" w:lineRule="auto"/>
      </w:pPr>
      <w:r>
        <w:continuationSeparator/>
      </w:r>
    </w:p>
  </w:footnote>
  <w:footnote w:type="continuationNotice" w:id="1">
    <w:p w14:paraId="7C10E002" w14:textId="77777777" w:rsidR="00981A00" w:rsidRDefault="00981A0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27492" w14:textId="77777777" w:rsidR="00E24CEB" w:rsidRDefault="00E24C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71CCA" w14:textId="77777777" w:rsidR="00E24CEB" w:rsidRDefault="00E24C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29D6" w14:textId="77777777" w:rsidR="00E24CEB" w:rsidRDefault="00E24C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0500F"/>
    <w:multiLevelType w:val="hybridMultilevel"/>
    <w:tmpl w:val="DE5AE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B7ED0"/>
    <w:multiLevelType w:val="hybridMultilevel"/>
    <w:tmpl w:val="8E9217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21021308">
    <w:abstractNumId w:val="0"/>
  </w:num>
  <w:num w:numId="2" w16cid:durableId="1416391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DA6"/>
    <w:rsid w:val="00006CEE"/>
    <w:rsid w:val="00015279"/>
    <w:rsid w:val="00022044"/>
    <w:rsid w:val="0002273E"/>
    <w:rsid w:val="00023D17"/>
    <w:rsid w:val="00025009"/>
    <w:rsid w:val="00026BC5"/>
    <w:rsid w:val="00035A01"/>
    <w:rsid w:val="00045DD5"/>
    <w:rsid w:val="00047664"/>
    <w:rsid w:val="0005627D"/>
    <w:rsid w:val="000567D1"/>
    <w:rsid w:val="00064665"/>
    <w:rsid w:val="00066F8F"/>
    <w:rsid w:val="00071E90"/>
    <w:rsid w:val="00091DA9"/>
    <w:rsid w:val="000B349A"/>
    <w:rsid w:val="000C3C7D"/>
    <w:rsid w:val="000D2E5A"/>
    <w:rsid w:val="000D792A"/>
    <w:rsid w:val="000E46A1"/>
    <w:rsid w:val="000E75F2"/>
    <w:rsid w:val="000E7858"/>
    <w:rsid w:val="000F007B"/>
    <w:rsid w:val="000F16AD"/>
    <w:rsid w:val="000F3E64"/>
    <w:rsid w:val="000F600C"/>
    <w:rsid w:val="000F647F"/>
    <w:rsid w:val="00105C75"/>
    <w:rsid w:val="00124889"/>
    <w:rsid w:val="00130D25"/>
    <w:rsid w:val="001322DF"/>
    <w:rsid w:val="00137341"/>
    <w:rsid w:val="00142D75"/>
    <w:rsid w:val="00147B03"/>
    <w:rsid w:val="00157799"/>
    <w:rsid w:val="001601F7"/>
    <w:rsid w:val="00162B6C"/>
    <w:rsid w:val="00167635"/>
    <w:rsid w:val="00185A0B"/>
    <w:rsid w:val="001867AF"/>
    <w:rsid w:val="00190ACF"/>
    <w:rsid w:val="00195129"/>
    <w:rsid w:val="001A05C2"/>
    <w:rsid w:val="001A39D5"/>
    <w:rsid w:val="001A67BC"/>
    <w:rsid w:val="001A7428"/>
    <w:rsid w:val="001B40D2"/>
    <w:rsid w:val="001F0FDD"/>
    <w:rsid w:val="001F38D6"/>
    <w:rsid w:val="002135EC"/>
    <w:rsid w:val="00240CA2"/>
    <w:rsid w:val="00240EDA"/>
    <w:rsid w:val="00245532"/>
    <w:rsid w:val="002521B9"/>
    <w:rsid w:val="0028317B"/>
    <w:rsid w:val="00291513"/>
    <w:rsid w:val="00291D21"/>
    <w:rsid w:val="002A24CB"/>
    <w:rsid w:val="002A2992"/>
    <w:rsid w:val="002A4EDB"/>
    <w:rsid w:val="002A5D02"/>
    <w:rsid w:val="002B0546"/>
    <w:rsid w:val="002B26E5"/>
    <w:rsid w:val="002C0040"/>
    <w:rsid w:val="002C00CE"/>
    <w:rsid w:val="002C456E"/>
    <w:rsid w:val="002C4CC0"/>
    <w:rsid w:val="002C6A02"/>
    <w:rsid w:val="002C7E35"/>
    <w:rsid w:val="002D0A02"/>
    <w:rsid w:val="002D5826"/>
    <w:rsid w:val="002E29E4"/>
    <w:rsid w:val="002E6A17"/>
    <w:rsid w:val="002E76DE"/>
    <w:rsid w:val="002F144F"/>
    <w:rsid w:val="002F16DA"/>
    <w:rsid w:val="002F418F"/>
    <w:rsid w:val="003067D4"/>
    <w:rsid w:val="0031437A"/>
    <w:rsid w:val="00315853"/>
    <w:rsid w:val="00322679"/>
    <w:rsid w:val="00323161"/>
    <w:rsid w:val="003273A7"/>
    <w:rsid w:val="003339CB"/>
    <w:rsid w:val="00337B82"/>
    <w:rsid w:val="00340FB8"/>
    <w:rsid w:val="00341505"/>
    <w:rsid w:val="0034710A"/>
    <w:rsid w:val="00350851"/>
    <w:rsid w:val="00352192"/>
    <w:rsid w:val="00356052"/>
    <w:rsid w:val="0036129B"/>
    <w:rsid w:val="00362AE8"/>
    <w:rsid w:val="00364CB0"/>
    <w:rsid w:val="00385F7C"/>
    <w:rsid w:val="00392857"/>
    <w:rsid w:val="003A2C9E"/>
    <w:rsid w:val="003B14D8"/>
    <w:rsid w:val="003B3ACB"/>
    <w:rsid w:val="003C3191"/>
    <w:rsid w:val="003C5933"/>
    <w:rsid w:val="003C66DD"/>
    <w:rsid w:val="003D397C"/>
    <w:rsid w:val="003F0E7E"/>
    <w:rsid w:val="003F5855"/>
    <w:rsid w:val="00400CD6"/>
    <w:rsid w:val="00402768"/>
    <w:rsid w:val="00404C7F"/>
    <w:rsid w:val="00411A3D"/>
    <w:rsid w:val="0041226A"/>
    <w:rsid w:val="00414F27"/>
    <w:rsid w:val="004247B1"/>
    <w:rsid w:val="00424801"/>
    <w:rsid w:val="00425C4D"/>
    <w:rsid w:val="00426B76"/>
    <w:rsid w:val="004320E1"/>
    <w:rsid w:val="00435F5E"/>
    <w:rsid w:val="0043686C"/>
    <w:rsid w:val="00455FF0"/>
    <w:rsid w:val="00471112"/>
    <w:rsid w:val="00473E71"/>
    <w:rsid w:val="00480116"/>
    <w:rsid w:val="00490D21"/>
    <w:rsid w:val="00491466"/>
    <w:rsid w:val="00495103"/>
    <w:rsid w:val="004962CE"/>
    <w:rsid w:val="004A0B4B"/>
    <w:rsid w:val="004A190D"/>
    <w:rsid w:val="004A4AB0"/>
    <w:rsid w:val="004B3D8E"/>
    <w:rsid w:val="004C5155"/>
    <w:rsid w:val="004E3DCE"/>
    <w:rsid w:val="00506974"/>
    <w:rsid w:val="005135C7"/>
    <w:rsid w:val="00530C66"/>
    <w:rsid w:val="005549BF"/>
    <w:rsid w:val="00561D34"/>
    <w:rsid w:val="00563074"/>
    <w:rsid w:val="00563E5E"/>
    <w:rsid w:val="005729E2"/>
    <w:rsid w:val="00575319"/>
    <w:rsid w:val="00577FE1"/>
    <w:rsid w:val="00580B8C"/>
    <w:rsid w:val="005B27C0"/>
    <w:rsid w:val="005C139E"/>
    <w:rsid w:val="005C75BD"/>
    <w:rsid w:val="005F01CA"/>
    <w:rsid w:val="005F43CD"/>
    <w:rsid w:val="00610544"/>
    <w:rsid w:val="00621F6A"/>
    <w:rsid w:val="0062416F"/>
    <w:rsid w:val="0063398F"/>
    <w:rsid w:val="006359CE"/>
    <w:rsid w:val="0064086C"/>
    <w:rsid w:val="00650899"/>
    <w:rsid w:val="00664304"/>
    <w:rsid w:val="00664FE7"/>
    <w:rsid w:val="00666EB0"/>
    <w:rsid w:val="00667125"/>
    <w:rsid w:val="00667350"/>
    <w:rsid w:val="006756B2"/>
    <w:rsid w:val="00685392"/>
    <w:rsid w:val="00686EDD"/>
    <w:rsid w:val="006A6456"/>
    <w:rsid w:val="006C0669"/>
    <w:rsid w:val="006D1534"/>
    <w:rsid w:val="006F4B1C"/>
    <w:rsid w:val="00705C84"/>
    <w:rsid w:val="00707235"/>
    <w:rsid w:val="0071385A"/>
    <w:rsid w:val="007351DF"/>
    <w:rsid w:val="00736383"/>
    <w:rsid w:val="00743865"/>
    <w:rsid w:val="0078302E"/>
    <w:rsid w:val="00783FD4"/>
    <w:rsid w:val="00784BFC"/>
    <w:rsid w:val="007B3AFF"/>
    <w:rsid w:val="007C0E6B"/>
    <w:rsid w:val="007C1133"/>
    <w:rsid w:val="00802F28"/>
    <w:rsid w:val="008157D7"/>
    <w:rsid w:val="00817D94"/>
    <w:rsid w:val="00826544"/>
    <w:rsid w:val="00826DB4"/>
    <w:rsid w:val="008369A5"/>
    <w:rsid w:val="008406A7"/>
    <w:rsid w:val="00840C0E"/>
    <w:rsid w:val="008444C5"/>
    <w:rsid w:val="008463BB"/>
    <w:rsid w:val="00870E72"/>
    <w:rsid w:val="008750DF"/>
    <w:rsid w:val="00877F6A"/>
    <w:rsid w:val="00883D57"/>
    <w:rsid w:val="00884C9E"/>
    <w:rsid w:val="008937B5"/>
    <w:rsid w:val="00893E8B"/>
    <w:rsid w:val="00897F6C"/>
    <w:rsid w:val="008B1B97"/>
    <w:rsid w:val="008B5CAE"/>
    <w:rsid w:val="008C03AD"/>
    <w:rsid w:val="008C4731"/>
    <w:rsid w:val="008C58CE"/>
    <w:rsid w:val="008D222E"/>
    <w:rsid w:val="00901D7C"/>
    <w:rsid w:val="00917098"/>
    <w:rsid w:val="0091712B"/>
    <w:rsid w:val="0093780C"/>
    <w:rsid w:val="00944B7F"/>
    <w:rsid w:val="00947ADD"/>
    <w:rsid w:val="00950D34"/>
    <w:rsid w:val="0095192F"/>
    <w:rsid w:val="0096002B"/>
    <w:rsid w:val="00961685"/>
    <w:rsid w:val="00974DDF"/>
    <w:rsid w:val="009801C8"/>
    <w:rsid w:val="00981A00"/>
    <w:rsid w:val="00986031"/>
    <w:rsid w:val="0099448F"/>
    <w:rsid w:val="009A0460"/>
    <w:rsid w:val="009A50A6"/>
    <w:rsid w:val="009D10D9"/>
    <w:rsid w:val="009D537F"/>
    <w:rsid w:val="009D7F4E"/>
    <w:rsid w:val="009F463A"/>
    <w:rsid w:val="00A012A1"/>
    <w:rsid w:val="00A05358"/>
    <w:rsid w:val="00A115FF"/>
    <w:rsid w:val="00A13813"/>
    <w:rsid w:val="00A205BE"/>
    <w:rsid w:val="00A226ED"/>
    <w:rsid w:val="00A22DA6"/>
    <w:rsid w:val="00A260CA"/>
    <w:rsid w:val="00A3393C"/>
    <w:rsid w:val="00A353CF"/>
    <w:rsid w:val="00A45AB0"/>
    <w:rsid w:val="00A4642D"/>
    <w:rsid w:val="00A47E50"/>
    <w:rsid w:val="00A55FE5"/>
    <w:rsid w:val="00A560EE"/>
    <w:rsid w:val="00A61128"/>
    <w:rsid w:val="00A624B3"/>
    <w:rsid w:val="00A66E73"/>
    <w:rsid w:val="00A70AC3"/>
    <w:rsid w:val="00A732B6"/>
    <w:rsid w:val="00A76324"/>
    <w:rsid w:val="00A807C2"/>
    <w:rsid w:val="00AA0253"/>
    <w:rsid w:val="00AB09D1"/>
    <w:rsid w:val="00AC4628"/>
    <w:rsid w:val="00AD1508"/>
    <w:rsid w:val="00AD5328"/>
    <w:rsid w:val="00AE270E"/>
    <w:rsid w:val="00AE5D4D"/>
    <w:rsid w:val="00AF06D4"/>
    <w:rsid w:val="00B0175C"/>
    <w:rsid w:val="00B0297E"/>
    <w:rsid w:val="00B10D5B"/>
    <w:rsid w:val="00B26417"/>
    <w:rsid w:val="00B302FE"/>
    <w:rsid w:val="00B31BDE"/>
    <w:rsid w:val="00B33C65"/>
    <w:rsid w:val="00B51B0B"/>
    <w:rsid w:val="00B53992"/>
    <w:rsid w:val="00B53B95"/>
    <w:rsid w:val="00B54C9B"/>
    <w:rsid w:val="00B6159B"/>
    <w:rsid w:val="00B61707"/>
    <w:rsid w:val="00B65C5E"/>
    <w:rsid w:val="00B66007"/>
    <w:rsid w:val="00B66A77"/>
    <w:rsid w:val="00B72ACC"/>
    <w:rsid w:val="00B81568"/>
    <w:rsid w:val="00B85807"/>
    <w:rsid w:val="00B921D4"/>
    <w:rsid w:val="00B97047"/>
    <w:rsid w:val="00BA2CE3"/>
    <w:rsid w:val="00BA65D1"/>
    <w:rsid w:val="00BB6B86"/>
    <w:rsid w:val="00BE1815"/>
    <w:rsid w:val="00C01E85"/>
    <w:rsid w:val="00C06C99"/>
    <w:rsid w:val="00C11741"/>
    <w:rsid w:val="00C11B53"/>
    <w:rsid w:val="00C145E6"/>
    <w:rsid w:val="00C2043B"/>
    <w:rsid w:val="00C32CED"/>
    <w:rsid w:val="00C441DC"/>
    <w:rsid w:val="00C4632D"/>
    <w:rsid w:val="00C50C85"/>
    <w:rsid w:val="00C6058C"/>
    <w:rsid w:val="00C67719"/>
    <w:rsid w:val="00C7229A"/>
    <w:rsid w:val="00C73C11"/>
    <w:rsid w:val="00C80918"/>
    <w:rsid w:val="00C933E8"/>
    <w:rsid w:val="00CA7455"/>
    <w:rsid w:val="00CB02F5"/>
    <w:rsid w:val="00CB6B9C"/>
    <w:rsid w:val="00CB7A56"/>
    <w:rsid w:val="00CC397E"/>
    <w:rsid w:val="00CC781A"/>
    <w:rsid w:val="00CD2EF4"/>
    <w:rsid w:val="00CE2472"/>
    <w:rsid w:val="00CF2251"/>
    <w:rsid w:val="00CF4338"/>
    <w:rsid w:val="00D07045"/>
    <w:rsid w:val="00D10589"/>
    <w:rsid w:val="00D24929"/>
    <w:rsid w:val="00D305CA"/>
    <w:rsid w:val="00D331E2"/>
    <w:rsid w:val="00D600F6"/>
    <w:rsid w:val="00D7456A"/>
    <w:rsid w:val="00D76D83"/>
    <w:rsid w:val="00D81228"/>
    <w:rsid w:val="00D9430A"/>
    <w:rsid w:val="00DA100C"/>
    <w:rsid w:val="00DA4F39"/>
    <w:rsid w:val="00DA4FA3"/>
    <w:rsid w:val="00DB351A"/>
    <w:rsid w:val="00DB7924"/>
    <w:rsid w:val="00DC0D1D"/>
    <w:rsid w:val="00DC1793"/>
    <w:rsid w:val="00DD4364"/>
    <w:rsid w:val="00DE0D2C"/>
    <w:rsid w:val="00DE3DC5"/>
    <w:rsid w:val="00DE6E0E"/>
    <w:rsid w:val="00DE7D12"/>
    <w:rsid w:val="00DF0FEE"/>
    <w:rsid w:val="00DF49DC"/>
    <w:rsid w:val="00E00E11"/>
    <w:rsid w:val="00E03726"/>
    <w:rsid w:val="00E23280"/>
    <w:rsid w:val="00E24CEB"/>
    <w:rsid w:val="00E25D7B"/>
    <w:rsid w:val="00E30153"/>
    <w:rsid w:val="00E3704F"/>
    <w:rsid w:val="00E40256"/>
    <w:rsid w:val="00E4394F"/>
    <w:rsid w:val="00E461E0"/>
    <w:rsid w:val="00E47C68"/>
    <w:rsid w:val="00E505DA"/>
    <w:rsid w:val="00E5654D"/>
    <w:rsid w:val="00E66368"/>
    <w:rsid w:val="00E82466"/>
    <w:rsid w:val="00E91B73"/>
    <w:rsid w:val="00EA2A1F"/>
    <w:rsid w:val="00EA54BE"/>
    <w:rsid w:val="00EB058F"/>
    <w:rsid w:val="00EB19D2"/>
    <w:rsid w:val="00EB4C12"/>
    <w:rsid w:val="00EC3C7C"/>
    <w:rsid w:val="00EC7CC6"/>
    <w:rsid w:val="00EE17CC"/>
    <w:rsid w:val="00EF2507"/>
    <w:rsid w:val="00EF432D"/>
    <w:rsid w:val="00F01655"/>
    <w:rsid w:val="00F01A0F"/>
    <w:rsid w:val="00F13A61"/>
    <w:rsid w:val="00F21475"/>
    <w:rsid w:val="00F21859"/>
    <w:rsid w:val="00F21A2E"/>
    <w:rsid w:val="00F238C9"/>
    <w:rsid w:val="00F25635"/>
    <w:rsid w:val="00F27B46"/>
    <w:rsid w:val="00F3621E"/>
    <w:rsid w:val="00F3673E"/>
    <w:rsid w:val="00F41F7F"/>
    <w:rsid w:val="00F42C9B"/>
    <w:rsid w:val="00F4603B"/>
    <w:rsid w:val="00F47966"/>
    <w:rsid w:val="00F53676"/>
    <w:rsid w:val="00F546FE"/>
    <w:rsid w:val="00F560D3"/>
    <w:rsid w:val="00F609E0"/>
    <w:rsid w:val="00F62E15"/>
    <w:rsid w:val="00F639C4"/>
    <w:rsid w:val="00F94422"/>
    <w:rsid w:val="00FA330F"/>
    <w:rsid w:val="00FA68D1"/>
    <w:rsid w:val="00FB44BB"/>
    <w:rsid w:val="00FD002D"/>
    <w:rsid w:val="00FD4EA9"/>
    <w:rsid w:val="00FD58CC"/>
    <w:rsid w:val="00FD7806"/>
    <w:rsid w:val="00FD7993"/>
    <w:rsid w:val="00FD7A25"/>
    <w:rsid w:val="00FE242E"/>
    <w:rsid w:val="00FE54A0"/>
    <w:rsid w:val="00FE6A39"/>
    <w:rsid w:val="00FF1B71"/>
    <w:rsid w:val="017807F7"/>
    <w:rsid w:val="03CD650F"/>
    <w:rsid w:val="050096AA"/>
    <w:rsid w:val="066F6BC9"/>
    <w:rsid w:val="0A0C4BD6"/>
    <w:rsid w:val="0B918167"/>
    <w:rsid w:val="0BC5BCF4"/>
    <w:rsid w:val="0D90E09F"/>
    <w:rsid w:val="0EA06D5A"/>
    <w:rsid w:val="0FCD2088"/>
    <w:rsid w:val="0FEB3E0B"/>
    <w:rsid w:val="10CC083F"/>
    <w:rsid w:val="12CA9FD8"/>
    <w:rsid w:val="151EA68C"/>
    <w:rsid w:val="16E10E1B"/>
    <w:rsid w:val="188A8D19"/>
    <w:rsid w:val="192EC255"/>
    <w:rsid w:val="198CC702"/>
    <w:rsid w:val="1A29AADD"/>
    <w:rsid w:val="1B416655"/>
    <w:rsid w:val="1B86F4F0"/>
    <w:rsid w:val="1C81E71D"/>
    <w:rsid w:val="1DA5C2C3"/>
    <w:rsid w:val="1EFE5EA7"/>
    <w:rsid w:val="1F983750"/>
    <w:rsid w:val="2080DA44"/>
    <w:rsid w:val="2303C28D"/>
    <w:rsid w:val="24013851"/>
    <w:rsid w:val="248EA659"/>
    <w:rsid w:val="29773F21"/>
    <w:rsid w:val="2BA03A0D"/>
    <w:rsid w:val="2C7FD2AC"/>
    <w:rsid w:val="2D02A83D"/>
    <w:rsid w:val="2F0C5A82"/>
    <w:rsid w:val="2F4E1BCC"/>
    <w:rsid w:val="2F839CE9"/>
    <w:rsid w:val="3305DEAD"/>
    <w:rsid w:val="33B07649"/>
    <w:rsid w:val="33F4779C"/>
    <w:rsid w:val="3450E851"/>
    <w:rsid w:val="34B14FD3"/>
    <w:rsid w:val="3637D4AB"/>
    <w:rsid w:val="386E7F02"/>
    <w:rsid w:val="3939DD30"/>
    <w:rsid w:val="3957686C"/>
    <w:rsid w:val="39FFA02E"/>
    <w:rsid w:val="3C79E897"/>
    <w:rsid w:val="3CD3E048"/>
    <w:rsid w:val="404C060F"/>
    <w:rsid w:val="4071CBC6"/>
    <w:rsid w:val="40B41E87"/>
    <w:rsid w:val="419C7AFB"/>
    <w:rsid w:val="420751EB"/>
    <w:rsid w:val="431647FF"/>
    <w:rsid w:val="44050925"/>
    <w:rsid w:val="448AC34A"/>
    <w:rsid w:val="4682354D"/>
    <w:rsid w:val="46A11F26"/>
    <w:rsid w:val="4940FEEE"/>
    <w:rsid w:val="49573C08"/>
    <w:rsid w:val="4983342F"/>
    <w:rsid w:val="4E736249"/>
    <w:rsid w:val="4E775AFA"/>
    <w:rsid w:val="4EC35B40"/>
    <w:rsid w:val="4EFEA42B"/>
    <w:rsid w:val="524A9E83"/>
    <w:rsid w:val="52F9B029"/>
    <w:rsid w:val="5323CBDD"/>
    <w:rsid w:val="548F4110"/>
    <w:rsid w:val="57826A90"/>
    <w:rsid w:val="578708DC"/>
    <w:rsid w:val="57A2FE58"/>
    <w:rsid w:val="597A87F3"/>
    <w:rsid w:val="5A4AE4B3"/>
    <w:rsid w:val="5BED076B"/>
    <w:rsid w:val="5CBDA3BC"/>
    <w:rsid w:val="5E8916D3"/>
    <w:rsid w:val="5F61414C"/>
    <w:rsid w:val="5F67D1D2"/>
    <w:rsid w:val="5FC393F9"/>
    <w:rsid w:val="60D68B4B"/>
    <w:rsid w:val="6224CB2E"/>
    <w:rsid w:val="646991AA"/>
    <w:rsid w:val="65086215"/>
    <w:rsid w:val="653BBA5B"/>
    <w:rsid w:val="66194225"/>
    <w:rsid w:val="67B0E206"/>
    <w:rsid w:val="6AB1B62D"/>
    <w:rsid w:val="6DCD76F0"/>
    <w:rsid w:val="6FF7DE45"/>
    <w:rsid w:val="70BBDA3D"/>
    <w:rsid w:val="7242F5A5"/>
    <w:rsid w:val="7384D25E"/>
    <w:rsid w:val="761CA780"/>
    <w:rsid w:val="76C6A8AF"/>
    <w:rsid w:val="777196DB"/>
    <w:rsid w:val="79835842"/>
    <w:rsid w:val="7A314DA0"/>
    <w:rsid w:val="7A404D50"/>
    <w:rsid w:val="7AD180A0"/>
    <w:rsid w:val="7B26F143"/>
    <w:rsid w:val="7B4059ED"/>
    <w:rsid w:val="7B5BDDC4"/>
    <w:rsid w:val="7D1200FC"/>
    <w:rsid w:val="7D27AD42"/>
    <w:rsid w:val="7D5DE086"/>
    <w:rsid w:val="7DAC8C46"/>
    <w:rsid w:val="7F16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CD1A5"/>
  <w15:chartTrackingRefBased/>
  <w15:docId w15:val="{6B193E34-9838-426D-9473-18B3548ED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585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158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4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47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71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710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7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710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71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710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43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3C7D"/>
  </w:style>
  <w:style w:type="paragraph" w:styleId="Footer">
    <w:name w:val="footer"/>
    <w:basedOn w:val="Normal"/>
    <w:link w:val="FooterChar"/>
    <w:uiPriority w:val="99"/>
    <w:unhideWhenUsed/>
    <w:rsid w:val="000C3C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3C7D"/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rmaltextrun">
    <w:name w:val="normaltextrun"/>
    <w:basedOn w:val="DefaultParagraphFont"/>
    <w:rsid w:val="00D600F6"/>
  </w:style>
  <w:style w:type="character" w:customStyle="1" w:styleId="eop">
    <w:name w:val="eop"/>
    <w:basedOn w:val="DefaultParagraphFont"/>
    <w:rsid w:val="00D600F6"/>
  </w:style>
  <w:style w:type="character" w:customStyle="1" w:styleId="Heading1Char">
    <w:name w:val="Heading 1 Char"/>
    <w:basedOn w:val="DefaultParagraphFont"/>
    <w:link w:val="Heading1"/>
    <w:uiPriority w:val="9"/>
    <w:rsid w:val="0031585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1585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ntion">
    <w:name w:val="Mention"/>
    <w:basedOn w:val="DefaultParagraphFont"/>
    <w:uiPriority w:val="99"/>
    <w:unhideWhenUsed/>
    <w:rsid w:val="006D1534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unhideWhenUsed/>
    <w:rsid w:val="00DE0D2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F418F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F43C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09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9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ischooldata.org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Status xmlns="ad27c568-2dec-4419-bf6f-0cef980f61bb">Draft</ReviewStatus>
    <lcf76f155ced4ddcb4097134ff3c332f xmlns="ad27c568-2dec-4419-bf6f-0cef980f61bb">
      <Terms xmlns="http://schemas.microsoft.com/office/infopath/2007/PartnerControls"/>
    </lcf76f155ced4ddcb4097134ff3c332f>
    <TaxCatchAll xmlns="e4664c3e-f049-4574-bd7d-7499d2032cc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8B36A56277B846B0EEF386E768A50D" ma:contentTypeVersion="15" ma:contentTypeDescription="Create a new document." ma:contentTypeScope="" ma:versionID="03158765e78920763b55d26b85334153">
  <xsd:schema xmlns:xsd="http://www.w3.org/2001/XMLSchema" xmlns:xs="http://www.w3.org/2001/XMLSchema" xmlns:p="http://schemas.microsoft.com/office/2006/metadata/properties" xmlns:ns2="ad27c568-2dec-4419-bf6f-0cef980f61bb" xmlns:ns3="1dc93aad-b850-4517-8aa9-22ae847f0984" xmlns:ns4="e4664c3e-f049-4574-bd7d-7499d2032cca" targetNamespace="http://schemas.microsoft.com/office/2006/metadata/properties" ma:root="true" ma:fieldsID="f717338a113f9145a2964bd3d81ed8bd" ns2:_="" ns3:_="" ns4:_="">
    <xsd:import namespace="ad27c568-2dec-4419-bf6f-0cef980f61bb"/>
    <xsd:import namespace="1dc93aad-b850-4517-8aa9-22ae847f0984"/>
    <xsd:import namespace="e4664c3e-f049-4574-bd7d-7499d2032c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ReviewStatu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7c568-2dec-4419-bf6f-0cef980f61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viewStatus" ma:index="18" nillable="true" ma:displayName="Review Status" ma:default="Draft" ma:format="Dropdown" ma:internalName="ReviewStatus">
      <xsd:simpleType>
        <xsd:restriction base="dms:Choice">
          <xsd:enumeration value="Draft"/>
          <xsd:enumeration value="Final"/>
          <xsd:enumeration value="Approved by MDE Leadership"/>
          <xsd:enumeration value="Template"/>
          <xsd:enumeration value="Working"/>
          <xsd:enumeration value="Web"/>
          <xsd:enumeration value="Posted PDF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0d83692-8000-456c-81e0-753272234f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c93aad-b850-4517-8aa9-22ae847f09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664c3e-f049-4574-bd7d-7499d2032cca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b6477cd5-50b3-487e-9c2d-3b571252d9cb}" ma:internalName="TaxCatchAll" ma:showField="CatchAllData" ma:web="6adb6e0f-7e94-4c58-aa56-30d3c03a8f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5E7D65-58B1-4744-8B67-C285D8E52F86}">
  <ds:schemaRefs>
    <ds:schemaRef ds:uri="http://schemas.microsoft.com/office/2006/metadata/properties"/>
    <ds:schemaRef ds:uri="http://schemas.microsoft.com/office/infopath/2007/PartnerControls"/>
    <ds:schemaRef ds:uri="ad27c568-2dec-4419-bf6f-0cef980f61bb"/>
    <ds:schemaRef ds:uri="e4664c3e-f049-4574-bd7d-7499d2032cca"/>
  </ds:schemaRefs>
</ds:datastoreItem>
</file>

<file path=customXml/itemProps2.xml><?xml version="1.0" encoding="utf-8"?>
<ds:datastoreItem xmlns:ds="http://schemas.openxmlformats.org/officeDocument/2006/customXml" ds:itemID="{226F6F4F-9165-4F23-9F33-6AEF086AEA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765A15-F52F-46B6-8ECC-F0DEF0A7E6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ACCF469-8F8E-4440-A4C4-230925BAF3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7c568-2dec-4419-bf6f-0cef980f61bb"/>
    <ds:schemaRef ds:uri="1dc93aad-b850-4517-8aa9-22ae847f0984"/>
    <ds:schemaRef ds:uri="e4664c3e-f049-4574-bd7d-7499d2032c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8</Pages>
  <Words>2137</Words>
  <Characters>12184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14293</CharactersWithSpaces>
  <SharedDoc>false</SharedDoc>
  <HLinks>
    <vt:vector size="12" baseType="variant">
      <vt:variant>
        <vt:i4>4784149</vt:i4>
      </vt:variant>
      <vt:variant>
        <vt:i4>3</vt:i4>
      </vt:variant>
      <vt:variant>
        <vt:i4>0</vt:i4>
      </vt:variant>
      <vt:variant>
        <vt:i4>5</vt:i4>
      </vt:variant>
      <vt:variant>
        <vt:lpwstr>https://www.mischooldata.org/</vt:lpwstr>
      </vt:variant>
      <vt:variant>
        <vt:lpwstr/>
      </vt:variant>
      <vt:variant>
        <vt:i4>2424921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_2018-21_MTTC_Subject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Schram</dc:creator>
  <cp:keywords/>
  <dc:description/>
  <cp:lastModifiedBy>Kalmbach, Jason (MDE)</cp:lastModifiedBy>
  <cp:revision>31</cp:revision>
  <cp:lastPrinted>2022-03-14T15:47:00Z</cp:lastPrinted>
  <dcterms:created xsi:type="dcterms:W3CDTF">2022-12-12T22:37:00Z</dcterms:created>
  <dcterms:modified xsi:type="dcterms:W3CDTF">2023-03-06T16:07:00Z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0x0101001C8B36A56277B846B0EEF386E768A50D</vt:lpwstr>
  </property>
  <property fmtid="{D5CDD505-2E9C-101B-9397-08002B2CF9AE}" pid="3" name="MSIP_Label_3a2fed65-62e7-46ea-af74-187e0c17143a_Enabled">
    <vt:lpwstr>true</vt:lpwstr>
  </property>
  <property fmtid="{D5CDD505-2E9C-101B-9397-08002B2CF9AE}" pid="4" name="MSIP_Label_3a2fed65-62e7-46ea-af74-187e0c17143a_SetDate">
    <vt:lpwstr>2021-05-03T20:18:42Z</vt:lpwstr>
  </property>
  <property fmtid="{D5CDD505-2E9C-101B-9397-08002B2CF9AE}" pid="5" name="MSIP_Label_3a2fed65-62e7-46ea-af74-187e0c17143a_Method">
    <vt:lpwstr>Privileged</vt:lpwstr>
  </property>
  <property fmtid="{D5CDD505-2E9C-101B-9397-08002B2CF9AE}" pid="6" name="MSIP_Label_3a2fed65-62e7-46ea-af74-187e0c17143a_Name">
    <vt:lpwstr>3a2fed65-62e7-46ea-af74-187e0c17143a</vt:lpwstr>
  </property>
  <property fmtid="{D5CDD505-2E9C-101B-9397-08002B2CF9AE}" pid="7" name="MSIP_Label_3a2fed65-62e7-46ea-af74-187e0c17143a_SiteId">
    <vt:lpwstr>d5fb7087-3777-42ad-966a-892ef47225d1</vt:lpwstr>
  </property>
  <property fmtid="{D5CDD505-2E9C-101B-9397-08002B2CF9AE}" pid="8" name="MSIP_Label_3a2fed65-62e7-46ea-af74-187e0c17143a_ActionId">
    <vt:lpwstr>623646ad-48d3-478f-b17c-22ec08d9f2cf</vt:lpwstr>
  </property>
  <property fmtid="{D5CDD505-2E9C-101B-9397-08002B2CF9AE}" pid="9" name="MSIP_Label_3a2fed65-62e7-46ea-af74-187e0c17143a_ContentBits">
    <vt:lpwstr>0</vt:lpwstr>
  </property>
  <property fmtid="{D5CDD505-2E9C-101B-9397-08002B2CF9AE}" pid="10" name="MediaServiceImageTags">
    <vt:lpwstr/>
  </property>
</Properties>
</file>